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napToGrid w:val="0"/>
        <w:jc w:val="center"/>
        <w:rPr>
          <w:rFonts w:ascii="宋体" w:cs="宋体"/>
          <w:sz w:val="28"/>
          <w:szCs w:val="28"/>
        </w:rPr>
      </w:pPr>
      <w:bookmarkStart w:id="0" w:name="_GoBack"/>
      <w:bookmarkEnd w:id="0"/>
      <w:r>
        <w:rPr>
          <w:rFonts w:eastAsia="Times New Roman"/>
        </w:rPr>
        <mc:AlternateContent>
          <mc:Choice Requires="wps">
            <w:drawing>
              <wp:anchor distT="0" distB="0" distL="114298" distR="114298" simplePos="0" relativeHeight="12" behindDoc="0" locked="0" layoutInCell="1" hidden="0" allowOverlap="1">
                <wp:simplePos x="0" y="0"/>
                <wp:positionH relativeFrom="column">
                  <wp:posOffset>-352107</wp:posOffset>
                </wp:positionH>
                <wp:positionV relativeFrom="paragraph">
                  <wp:posOffset>800417</wp:posOffset>
                </wp:positionV>
                <wp:extent cx="6044882" cy="6467157"/>
                <wp:effectExtent l="0" t="0" r="0" b="0"/>
                <wp:wrapSquare wrapText="bothSides"/>
                <wp:docPr id="1" name="组合"/>
                <wp:cNvGraphicFramePr>
                  <a:graphicFrameLocks noChangeAspect="1"/>
                </wp:cNvGraphicFramePr>
                <a:graphic>
                  <a:graphicData uri="http://schemas.microsoft.com/office/word/2010/wordprocessingGroup">
                    <wpg:wgp>
                      <wpg:cNvPr id="2" name="组合 2"/>
                      <wpg:cNvGrpSpPr/>
                      <wpg:grpSpPr>
                        <a:xfrm rot="0">
                          <a:off x="0" y="0"/>
                          <a:ext cx="6044882" cy="6467157"/>
                          <a:chOff x="0" y="0"/>
                          <a:chExt cx="6044882" cy="6467157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g:grpSpPr>
                      <wps:wsp>
                        <wps:cNvPr id="3" name="_s35 3"/>
                        <wps:cNvSpPr/>
                        <wps:spPr>
                          <a:xfrm rot="0">
                            <a:off x="378479" y="713774"/>
                            <a:ext cx="5448585" cy="5753382"/>
                          </a:xfrm>
                          <a:prstGeom prst="rect"/>
                          <a:noFill/>
                          <a:ln w="9525" cmpd="sng" cap="flat">
                            <a:noFill/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_s36 4"/>
                        <wps:cNvSpPr/>
                        <wps:spPr>
                          <a:xfrm rot="0">
                            <a:off x="2532512" y="1026845"/>
                            <a:ext cx="974140" cy="371493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5">
                          <w:txbxContent>
                            <w:p>
                              <w:pPr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6" name="_s37 6"/>
                        <wps:cNvSpPr/>
                        <wps:spPr>
                          <a:xfrm rot="0">
                            <a:off x="3109123" y="1399608"/>
                            <a:ext cx="0" cy="867452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_s38 7"/>
                        <wps:cNvSpPr/>
                        <wps:spPr>
                          <a:xfrm rot="0">
                            <a:off x="3099597" y="2817632"/>
                            <a:ext cx="9526" cy="342916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_s39 8"/>
                        <wps:cNvSpPr/>
                        <wps:spPr>
                          <a:xfrm flipV="1" rot="21600000">
                            <a:off x="3921965" y="2525518"/>
                            <a:ext cx="217181" cy="3175"/>
                          </a:xfrm>
                          <a:prstGeom prst="straightConnector1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_s40 9"/>
                        <wps:cNvSpPr/>
                        <wps:spPr>
                          <a:xfrm rot="0">
                            <a:off x="2266433" y="2299447"/>
                            <a:ext cx="1628225" cy="478178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0">
                          <w:txbxContent>
                            <w:p>
                              <w:pPr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受  理</w:t>
                              </w:r>
                            </w:p>
                            <w:p>
                              <w:pPr>
                                <w:rPr>
                                  <w:rFonts w:ascii="仿宋" w:eastAsia="仿宋"/>
                                  <w:sz w:val="18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申请材料齐全，符合法定形式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1" name="_s41 11"/>
                        <wps:cNvSpPr/>
                        <wps:spPr>
                          <a:xfrm rot="0">
                            <a:off x="2098785" y="3175791"/>
                            <a:ext cx="2040361" cy="889043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2">
                          <w:txbxContent>
                            <w:p>
                              <w:pPr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审  查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承办人依法对申请人提交的申请材料进行审查，并提出审查意见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3" name="_s42 13"/>
                        <wps:cNvSpPr/>
                        <wps:spPr>
                          <a:xfrm rot="0">
                            <a:off x="4189949" y="2152755"/>
                            <a:ext cx="1730465" cy="664242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4"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不属于许可范畴或不属于本机关职权范围的，不予受理，并说明理由。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5" name="_s43 15"/>
                        <wps:cNvSpPr/>
                        <wps:spPr>
                          <a:xfrm rot="0">
                            <a:off x="292750" y="2146404"/>
                            <a:ext cx="1672677" cy="1028750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6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g:grpSp>
                        <wpg:cNvPr id="17" name="组合 17"/>
                        <wpg:cNvGrpSpPr/>
                        <wpg:grpSpPr>
                          <a:xfrm rot="0">
                            <a:off x="1281497" y="4066104"/>
                            <a:ext cx="4130891" cy="2036544"/>
                            <a:chOff x="0" y="0"/>
                            <a:chExt cx="4130891" cy="2036544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g:grpSpPr>
                        <wps:wsp>
                          <wps:cNvPr id="18" name="_s45 18"/>
                          <wps:cNvSpPr/>
                          <wps:spPr>
                            <a:xfrm rot="0">
                              <a:off x="1833340" y="0"/>
                              <a:ext cx="10796" cy="375303"/>
                            </a:xfrm>
                            <a:prstGeom prst="line"/>
                            <a:noFill/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tailEnd type="triangle" w="med" len="med"/>
                            </a:ln>
                          </wps:spPr>
                          <wps:bodyPr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_s46 19"/>
                          <wps:cNvSpPr/>
                          <wps:spPr>
                            <a:xfrm rot="0">
                              <a:off x="1849852" y="1047166"/>
                              <a:ext cx="10795" cy="364506"/>
                            </a:xfrm>
                            <a:prstGeom prst="line"/>
                            <a:noFill/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tailEnd type="triangle" w="med" len="med"/>
                            </a:ln>
                          </wps:spPr>
                          <wps:bodyPr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_s47 20"/>
                          <wps:cNvSpPr/>
                          <wps:spPr>
                            <a:xfrm rot="0">
                              <a:off x="0" y="375303"/>
                              <a:ext cx="4130891" cy="671227"/>
                            </a:xfrm>
                            <a:prstGeom prst="flowChartProcess"/>
                            <a:solidFill>
                              <a:srgbClr val="FFFFFF"/>
                            </a:solidFill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txbx id="21"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作出许可决定，办理批复文件</w:t>
                                </w:r>
                              </w:p>
                              <w:p>
                                <w:pPr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依法作出准予行政许可或不予行政许可的书面决定；不予许可应当说明理由，并告知申请人享有依法申请行政复议或者提起行政诉讼的权利。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upright="0">
                            <a:noAutofit/>
                          </wps:bodyPr>
                        </wps:wsp>
                        <wps:wsp>
                          <wps:cNvPr id="22" name="_s48 22"/>
                          <wps:cNvSpPr/>
                          <wps:spPr>
                            <a:xfrm rot="0">
                              <a:off x="774105" y="1465651"/>
                              <a:ext cx="2310251" cy="570893"/>
                            </a:xfrm>
                            <a:prstGeom prst="rect"/>
                            <a:solidFill>
                              <a:srgbClr val="FFFFFF"/>
                            </a:solidFill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txbx id="23">
                            <w:txbxContent>
                              <w:p>
                                <w:pPr>
                                  <w:jc w:val="center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送  达</w:t>
                                </w:r>
                              </w:p>
                              <w:p>
                                <w:pPr>
                                  <w:jc w:val="center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依法送达并公开行政许可决定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upright="0">
                            <a:noAutofit/>
                          </wps:bodyPr>
                        </wps:wsp>
                      </wpg:grpSp>
                      <wps:wsp>
                        <wps:cNvPr id="24" name="_s49 24"/>
                        <wps:cNvSpPr/>
                        <wps:spPr>
                          <a:xfrm flipH="1" rot="21600000">
                            <a:off x="2002895" y="2586481"/>
                            <a:ext cx="266078" cy="63"/>
                          </a:xfrm>
                          <a:prstGeom prst="straightConnector1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_s50 25"/>
                        <wps:cNvSpPr/>
                        <wps:spPr>
                          <a:xfrm rot="0">
                            <a:off x="1327219" y="3175791"/>
                            <a:ext cx="771565" cy="444521"/>
                          </a:xfrm>
                          <a:prstGeom prst="bentConnector3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_s51 26"/>
                        <wps:cNvSpPr/>
                        <wps:spPr>
                          <a:xfrm rot="16200000">
                            <a:off x="-32383" y="32383"/>
                            <a:ext cx="2067026" cy="2002259"/>
                          </a:xfrm>
                          <a:prstGeom prst="wedgeRoundRectCallout">
                            <a:avLst>
                              <a:gd name="adj1" fmla="val -5597"/>
                              <a:gd name="adj2" fmla="val 73995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7"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初步设计批复申请材料：</w:t>
                              </w:r>
                            </w:p>
                            <w:p>
                              <w:pPr>
                                <w:tabs>
                                  <w:tab w:val="left" w:pos="312"/>
                                </w:tabs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1.初步设计批复请示文件；2.经批准的可行性研究报告；3.咨询报告（专家意见）；4.初步设计文件。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施工图设计批复申请材料：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cs="宋体"/>
                                  <w:kern w:val="0"/>
                                  <w:szCs w:val="21"/>
                                </w:rPr>
                                <w:t>1.申请批复的请示文件2.咨询报告（专家意见）；3.施工图设计文件全套。</w:t>
                              </w:r>
                            </w:p>
                          </w:txbxContent>
                        </wps:txbx>
                        <wps:bodyPr vert="vert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28" name="_s52 28"/>
                        <wps:cNvSpPr/>
                        <wps:spPr>
                          <a:xfrm rot="0">
                            <a:off x="4189949" y="713774"/>
                            <a:ext cx="1854932" cy="1035735"/>
                          </a:xfrm>
                          <a:prstGeom prst="wedgeRoundRectCallout">
                            <a:avLst>
                              <a:gd name="adj1" fmla="val -83185"/>
                              <a:gd name="adj2" fmla="val 189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9">
                          <w:txbxContent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设计变更申请材料：</w:t>
                              </w:r>
                            </w:p>
                            <w:p>
                              <w:pPr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1.上报变更的请示文件；2.公路工程较大（重大）设计变更申请表。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30" name="_s53 30"/>
                        <wps:cNvSpPr/>
                        <wps:spPr>
                          <a:xfrm rot="0">
                            <a:off x="4310606" y="3047514"/>
                            <a:ext cx="1554561" cy="703614"/>
                          </a:xfrm>
                          <a:prstGeom prst="wedgeRoundRectCallout">
                            <a:avLst>
                              <a:gd name="adj1" fmla="val -58824"/>
                              <a:gd name="adj2" fmla="val -1212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31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省交通造价站提交概算（或施工图变更预算）审查意见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32" name="_s54 32"/>
                        <wps:cNvSpPr/>
                        <wps:spPr>
                          <a:xfrm rot="0">
                            <a:off x="4365854" y="3835587"/>
                            <a:ext cx="1679027" cy="502944"/>
                          </a:xfrm>
                          <a:prstGeom prst="wedgeRoundRectCallout">
                            <a:avLst>
                              <a:gd name="adj1" fmla="val -59986"/>
                              <a:gd name="adj2" fmla="val -3443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33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初步设计审查会（或变更审查会）审查通过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bodyPr vert="horz" wrap="square" lIns="91440" tIns="45720" rIns="91440" bIns="45720" anchor="t" anchorCtr="0" upright="1">
                        <a:noAutofit/>
                      </wps:bodyPr>
                    </wpg:wgp>
                  </a:graphicData>
                </a:graphic>
              </wp:anchor>
            </w:drawing>
          </mc:Choice>
          <mc:Fallback>
            <w:pict>
              <v:group type="#_x0000_t1" id="组合 34" o:spid="_x0000_s34" coordorigin="1245,2700" coordsize="9519,10184" style="position:absolute;margin-left:-27.724974pt;margin-top:63.02499pt;width:475.97495pt;height:509.22495pt;z-index:12;mso-position-horizontal:absolute;mso-position-vertical:absolute;mso-wrap-distance-left:8.999863pt;mso-wrap-distance-right:8.999863pt;">
                <v:rect type="#_x0000_t1" id="_s35" o:spid="_x0000_s35" style="position:absolute;left:1841;top:3824;width:8580;height:9060;" filled="f" stroked="f">
                  <o:lock aspectratio="t"/>
                  <v:stroke color="#000000"/>
                </v:rect>
                <v:shape type="#_x0000_t109" id="_s36" o:spid="_x0000_s36" style="position:absolute;left:5233;top:4317;width:1534;height:585;mso-wrap-style:square;" fillcolor="#FFFFFF" stroked="t">
                  <v:textbox id="852" inset="2.54mm,1.27mm,2.54mm,1.27mm" o:insetmode="custom" style="layout-flow:horizontal;v-text-anchor:top;">
                    <w:txbxContent>
                      <w:p>
                        <w:pPr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  请</w:t>
                        </w:r>
                      </w:p>
                    </w:txbxContent>
                  </v:textbox>
                  <v:stroke color="#000000"/>
                </v:shape>
                <v:line type="#_x0000_t20" id="_s37" o:spid="_x0000_s37" style="position:absolute;visibility:visible;" from="6141.758,4904.6084" to="6141.7583,6270.675" filled="f" stroked="t">
                  <v:stroke color="#000000" endarrow="block"/>
                </v:line>
                <v:line type="#_x0000_t20" id="_s38" o:spid="_x0000_s38" style="position:absolute;visibility:visible;" from="6126.756,7137.717" to="6141.758,7677.743" filled="f" stroked="t">
                  <v:stroke color="#000000" endarrow="block"/>
                </v:line>
                <v:shape type="#_x0000_t32" id="_s39" o:spid="_x0000_s39" style="position:absolute;left:7421;top:6677;width:342;height:5;flip:y;" filled="f" stroked="t">
                  <v:stroke color="#000000" endarrow="block"/>
                </v:shape>
                <v:shape type="#_x0000_t109" id="_s40" o:spid="_x0000_s40" style="position:absolute;left:4814;top:6321;width:2564;height:753;mso-wrap-style:square;" fillcolor="#FFFFFF" stroked="t">
                  <v:textbox id="853" inset="2.54mm,1.27mm,2.54mm,1.27mm" o:insetmode="custom" style="layout-flow:horizontal;v-text-anchor:top;">
                    <w:txbxContent>
                      <w:p>
                        <w:pPr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受  理</w:t>
                        </w:r>
                      </w:p>
                      <w:p>
                        <w:pPr>
                          <w:rPr>
                            <w:rFonts w:ascii="仿宋" w:eastAsia="仿宋"/>
                            <w:sz w:val="18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申请材料齐全，符合法定形式</w:t>
                        </w:r>
                      </w:p>
                    </w:txbxContent>
                  </v:textbox>
                  <v:stroke color="#000000"/>
                </v:shape>
                <v:shape type="#_x0000_t202" id="_s41" o:spid="_x0000_s41" style="position:absolute;left:4550;top:7701;width:3213;height:1400;mso-wrap-style:square;" fillcolor="#FFFFFF" stroked="t">
                  <v:textbox id="848" inset="2.54mm,1.27mm,2.54mm,1.27mm" o:insetmode="custom" style="layout-flow:horizontal;v-text-anchor:top;">
                    <w:txbxContent>
                      <w:p>
                        <w:pPr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审  查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承办人依法对申请人提交的申请材料进行审查，并提出审查意见</w:t>
                        </w:r>
                      </w:p>
                    </w:txbxContent>
                  </v:textbox>
                  <v:stroke color="#000000"/>
                </v:shape>
                <v:shape type="#_x0000_t202" id="_s42" o:spid="_x0000_s42" style="position:absolute;left:7843;top:6090;width:2725;height:1046;mso-wrap-style:square;" fillcolor="#FFFFFF" stroked="t">
                  <v:textbox id="849" inset="2.54mm,1.27mm,2.54mm,1.27mm" o:insetmode="custom" style="layout-flow:horizontal;v-text-anchor:top;">
                    <w:txbxContent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不属于许可范畴或不属于本机关职权范围的，不予受理，并说明理由。</w:t>
                        </w:r>
                      </w:p>
                    </w:txbxContent>
                  </v:textbox>
                  <v:stroke color="#000000"/>
                </v:shape>
                <v:shape type="#_x0000_t202" id="_s43" o:spid="_x0000_s43" style="position:absolute;left:1706;top:6080;width:2634;height:1620;mso-wrap-style:square;" fillcolor="#FFFFFF" stroked="t">
                  <v:textbox id="850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  <v:stroke color="#000000"/>
                </v:shape>
                <v:group type="#_x0000_t1" id="组合 44" o:spid="_x0000_s44" coordorigin="3263,9103" coordsize="6505,3207" style="position:absolute;left:3263;top:9103;width:6505;height:3207;">
                  <v:line type="#_x0000_t20" id="_s45" o:spid="_x0000_s45" style="position:absolute;visibility:visible;" from="6150.7563,9103.814" to="6167.7593,9694.844" filled="f" stroked="t">
                    <v:stroke color="#000000" endarrow="block"/>
                  </v:line>
                  <v:line type="#_x0000_t20" id="_s46" o:spid="_x0000_s46" style="position:absolute;visibility:visible;" from="6176.759,10752.895" to="6193.76,11326.92" filled="f" stroked="t">
                    <v:stroke color="#000000" endarrow="block"/>
                  </v:line>
                  <v:shape type="#_x0000_t109" id="_s47" o:spid="_x0000_s47" style="position:absolute;left:3263;top:9694;width:6505;height:1057;mso-wrap-style:square;" fillcolor="#FFFFFF" stroked="t">
                    <v:textbox id="854" inset="2.54mm,1.27mm,2.54mm,1.27mm" o:insetmode="custom" style="layout-flow:horizontal;v-text-anchor:top;">
                      <w:txbxContent>
                        <w:p>
                          <w:pPr>
                            <w:jc w:val="center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作出许可决定，办理批复文件</w:t>
                          </w:r>
                        </w:p>
                        <w:p>
                          <w:pPr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依法作出准予行政许可或不予行政许可的书面决定；不予许可应当说明理由，并告知申请人享有依法申请行政复议或者提起行政诉讼的权利。</w:t>
                          </w:r>
                        </w:p>
                      </w:txbxContent>
                    </v:textbox>
                    <v:stroke color="#000000"/>
                  </v:shape>
                  <v:shape type="#_x0000_t202" id="_s48" o:spid="_x0000_s48" style="position:absolute;left:4482;top:11411;width:3638;height:899;mso-wrap-style:square;" fillcolor="#FFFFFF" stroked="t">
                    <v:textbox id="851" inset="2.54mm,1.27mm,2.54mm,1.27mm" o:insetmode="custom" style="layout-flow:horizontal;v-text-anchor:top;">
                      <w:txbxContent>
                        <w:p>
                          <w:pPr>
                            <w:jc w:val="center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送  达</w:t>
                          </w:r>
                        </w:p>
                        <w:p>
                          <w:pPr>
                            <w:jc w:val="center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依法送达并公开行政许可决定</w:t>
                          </w:r>
                        </w:p>
                      </w:txbxContent>
                    </v:textbox>
                    <v:stroke color="#000000"/>
                  </v:shape>
                </v:group>
                <v:shape type="#_x0000_t32" id="_s49" o:spid="_x0000_s49" style="position:absolute;left:4399;top:6773;width:419;height:0;flip:x;" fillcolor="#FFFFFF" stroked="t">
                  <v:stroke color="#000000" endarrow="block"/>
                </v:shape>
                <v:shape type="#_x0000_t34" id="_s50" o:spid="_x0000_s50" style="position:absolute;left:3335;top:7701;width:1215;height:700;" filled="f" stroked="t" adj="10797">
                  <v:stroke color="#000000" endarrow="block"/>
                </v:shape>
                <v:shape type="#_x0000_t62" id="_s51" o:spid="_x0000_s51" style="position:absolute;left:1194;top:2751;width:3255;height:3153;rotation:270.0;mso-wrap-style:square;" fillcolor="#FFFFFF" stroked="t" adj="9591,26783">
                  <v:textbox id="855" inset="2.54mm,1.27mm,2.54mm,1.27mm" o:insetmode="custom" style="layout-flow:vertical;v-text-anchor:top;">
                    <w:txbxContent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初步设计批复申请材料：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1.初步设计批复请示文件；2.经批准的可行性研究报告；3.咨询报告（专家意见）；4.初步设计文件。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施工图设计批复申请材料：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cs="宋体"/>
                            <w:kern w:val="0"/>
                            <w:szCs w:val="21"/>
                          </w:rPr>
                          <w:t>1.申请批复的请示文件2.咨询报告（专家意见）；3.施工图设计文件全套。</w:t>
                        </w:r>
                      </w:p>
                    </w:txbxContent>
                  </v:textbox>
                  <v:stroke color="#000000"/>
                </v:shape>
                <v:shape type="#_x0000_t62" id="_s52" o:spid="_x0000_s52" style="position:absolute;left:7843;top:3824;width:2921;height:1631;mso-wrap-style:square;" fillcolor="#FFFFFF" stroked="t" adj="-7168,11209">
                  <v:textbox id="856" inset="2.54mm,1.27mm,2.54mm,1.27mm" o:insetmode="custom" style="layout-flow:horizontal;v-text-anchor:top;">
                    <w:txbxContent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设计变更申请材料：</w:t>
                        </w:r>
                      </w:p>
                      <w:p>
                        <w:pPr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1.上报变更的请示文件；2.公路工程较大（重大）设计变更申请表。</w:t>
                        </w:r>
                      </w:p>
                    </w:txbxContent>
                  </v:textbox>
                  <v:stroke color="#000000"/>
                </v:shape>
                <v:shape type="#_x0000_t62" id="_s53" o:spid="_x0000_s53" style="position:absolute;left:8033;top:7499;width:2448;height:1108;mso-wrap-style:square;" fillcolor="#FFFFFF" stroked="t" adj="-1906,8182">
                  <v:textbox id="857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省交通造价站提交概算（或施工图变更预算）审查意见</w:t>
                        </w:r>
                      </w:p>
                    </w:txbxContent>
                  </v:textbox>
                  <v:stroke color="#000000"/>
                </v:shape>
                <v:shape type="#_x0000_t62" id="_s54" o:spid="_x0000_s54" style="position:absolute;left:8120;top:8740;width:2644;height:792;mso-wrap-style:square;" fillcolor="#FFFFFF" stroked="t" adj="-2157,3363">
                  <v:textbox id="858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初步设计审查会（或变更审查会）审查通过</w:t>
                        </w:r>
                      </w:p>
                    </w:txbxContent>
                  </v:textbox>
                  <v:stroke color="#000000"/>
                </v:shape>
                <o:lock aspectratio="t"/>
                <w10:wrap type="square"/>
              </v:group>
            </w:pict>
          </mc:Fallback>
        </mc:AlternateContent>
      </w:r>
      <w:r>
        <w:rPr>
          <w:rFonts w:ascii="宋体" w:cs="宋体"/>
          <w:sz w:val="28"/>
          <w:szCs w:val="28"/>
        </w:rPr>
        <w:t>3.</w:t>
      </w:r>
      <w:r>
        <w:rPr>
          <w:rFonts w:ascii="宋体" w:cs="宋体"/>
          <w:kern w:val="0"/>
          <w:sz w:val="28"/>
          <w:szCs w:val="28"/>
        </w:rPr>
        <w:t>权限内公路、水运建设项目初步设计及施工图设计文件、公路工程较大及重大设计变更审批流程图</w:t>
      </w:r>
    </w:p>
    <w:p>
      <w:pPr>
        <w:rPr>
          <w:rFonts w:ascii="仿宋_GB2312" w:eastAsia="仿宋_GB2312"/>
          <w:sz w:val="28"/>
        </w:rPr>
      </w:pPr>
    </w:p>
    <w:p>
      <w:pPr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 xml:space="preserve">办理机构：贵州政务服务大厅贵州省交通运输厅窗口  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业务电话：0851-85954467 监督电话：0851-85953949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法定期限：20个工作日（不含听证、招标、拍卖、检验、检测、鉴定和专家评审等时间）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承诺期限：6个工作日（不含听证、招标、拍卖、检验、检测、鉴定和专家评审等时间）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29</TotalTime>
  <Application>Yozo_Office27021597764231179</Application>
  <Pages>1</Pages>
  <Words>157</Words>
  <Characters>183</Characters>
  <Lines>7</Lines>
  <Paragraphs>5</Paragraphs>
  <CharactersWithSpaces>186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4</cp:revision>
  <cp:lastPrinted>2017-11-13T08:10:00Z</cp:lastPrinted>
  <dcterms:created xsi:type="dcterms:W3CDTF">2017-10-23T11:40:00Z</dcterms:created>
  <dcterms:modified xsi:type="dcterms:W3CDTF">2021-08-30T00:27:22Z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2052-10.1.0.6930</vt:lpwstr>
  </property>
</Properties>
</file>