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微软雅黑"/>
          <w:b/>
          <w:sz w:val="40"/>
          <w:szCs w:val="44"/>
        </w:rPr>
      </w:pPr>
      <w:r>
        <w:rPr>
          <w:rFonts w:ascii="Times New Roman" w:hAnsi="Times New Roman" w:eastAsia="微软雅黑"/>
          <w:b/>
          <w:sz w:val="40"/>
          <w:szCs w:val="44"/>
        </w:rPr>
        <w:t>2016</w:t>
      </w:r>
      <w:r>
        <w:rPr>
          <w:rFonts w:hint="eastAsia" w:ascii="Times New Roman" w:hAnsi="微软雅黑" w:eastAsia="微软雅黑"/>
          <w:b/>
          <w:sz w:val="40"/>
          <w:szCs w:val="44"/>
        </w:rPr>
        <w:t>年贵州省收费公路统计公报</w:t>
      </w:r>
    </w:p>
    <w:p>
      <w:pPr>
        <w:spacing w:line="360" w:lineRule="auto"/>
        <w:jc w:val="center"/>
        <w:rPr>
          <w:rFonts w:ascii="微软雅黑" w:hAnsi="微软雅黑" w:eastAsia="微软雅黑"/>
          <w:b/>
          <w:sz w:val="28"/>
        </w:rPr>
      </w:pPr>
      <w:r>
        <w:rPr>
          <w:rFonts w:hint="eastAsia" w:ascii="微软雅黑" w:hAnsi="微软雅黑" w:eastAsia="微软雅黑"/>
          <w:b/>
          <w:sz w:val="40"/>
          <w:szCs w:val="44"/>
        </w:rPr>
        <w:t>情况介绍及数据解读</w:t>
      </w:r>
    </w:p>
    <w:p>
      <w:pPr>
        <w:rPr>
          <w:rFonts w:hint="eastAsia" w:eastAsia="仿宋_GB2312"/>
          <w:lang w:eastAsia="zh-CN"/>
        </w:rPr>
      </w:pPr>
    </w:p>
    <w:p>
      <w:pPr>
        <w:ind w:firstLine="600" w:firstLineChars="200"/>
      </w:pPr>
      <w:r>
        <w:rPr>
          <w:rFonts w:hint="eastAsia"/>
        </w:rPr>
        <w:t>根据《政府信息公开条例》的有关规定及交通运输部关于公布2016年度收费公路统计数据的工作部署要求，《2016年贵州省收费公路统计公报》</w:t>
      </w:r>
      <w:r>
        <w:rPr>
          <w:rFonts w:hint="eastAsia"/>
          <w:highlight w:val="none"/>
          <w:lang w:eastAsia="zh-CN"/>
        </w:rPr>
        <w:t>现已</w:t>
      </w:r>
      <w:r>
        <w:rPr>
          <w:rFonts w:hint="eastAsia"/>
        </w:rPr>
        <w:t>公布。为了便于社会公众更好的理解《公报》内容，下面对我省收费公路基本情况解读如下。</w:t>
      </w:r>
      <w:bookmarkStart w:id="0" w:name="_GoBack"/>
      <w:bookmarkEnd w:id="0"/>
    </w:p>
    <w:p>
      <w:pPr>
        <w:spacing w:before="156" w:beforeLines="50" w:after="156" w:afterLines="50"/>
        <w:jc w:val="center"/>
        <w:rPr>
          <w:rFonts w:ascii="黑体" w:hAnsi="黑体" w:eastAsia="黑体"/>
          <w:b/>
          <w:sz w:val="32"/>
          <w:szCs w:val="32"/>
        </w:rPr>
      </w:pPr>
      <w:r>
        <w:rPr>
          <w:rFonts w:hint="eastAsia" w:ascii="黑体" w:hAnsi="黑体" w:eastAsia="黑体"/>
          <w:b/>
          <w:sz w:val="32"/>
          <w:szCs w:val="32"/>
        </w:rPr>
        <w:t>第一部分   基本情况</w:t>
      </w:r>
    </w:p>
    <w:p>
      <w:pPr>
        <w:pStyle w:val="2"/>
      </w:pPr>
      <w:r>
        <w:rPr>
          <w:rFonts w:hint="eastAsia"/>
        </w:rPr>
        <w:t>贵州省收费公路总体建设情况</w:t>
      </w:r>
    </w:p>
    <w:p>
      <w:pPr>
        <w:snapToGrid w:val="0"/>
        <w:spacing w:line="360" w:lineRule="auto"/>
        <w:ind w:firstLine="600" w:firstLineChars="200"/>
        <w:rPr>
          <w:rFonts w:ascii="仿宋_GB2312" w:hAnsi="华文中宋"/>
          <w:bCs/>
          <w:szCs w:val="30"/>
        </w:rPr>
      </w:pPr>
      <w:r>
        <w:rPr>
          <w:rFonts w:hint="eastAsia"/>
          <w:szCs w:val="30"/>
        </w:rPr>
        <w:t>截止2016年12月31日，贵州</w:t>
      </w:r>
      <w:r>
        <w:rPr>
          <w:rFonts w:hint="eastAsia" w:ascii="仿宋_GB2312" w:hAnsi="华文中宋"/>
          <w:bCs/>
          <w:szCs w:val="30"/>
        </w:rPr>
        <w:t>收费公路里程5550.</w:t>
      </w:r>
      <w:r>
        <w:rPr>
          <w:rFonts w:hint="eastAsia" w:ascii="仿宋_GB2312" w:hAnsi="华文中宋"/>
          <w:bCs/>
          <w:szCs w:val="30"/>
          <w:lang w:val="en-US" w:eastAsia="zh-CN"/>
        </w:rPr>
        <w:t>8</w:t>
      </w:r>
      <w:r>
        <w:rPr>
          <w:rFonts w:hint="eastAsia" w:ascii="仿宋_GB2312" w:hAnsi="华文中宋"/>
          <w:bCs/>
          <w:szCs w:val="30"/>
        </w:rPr>
        <w:t>公里，占贵州省公路总里程19万公里的2.9%。其中，高速公路5475.</w:t>
      </w:r>
      <w:r>
        <w:rPr>
          <w:rFonts w:hint="eastAsia" w:ascii="仿宋_GB2312" w:hAnsi="华文中宋"/>
          <w:bCs/>
          <w:szCs w:val="30"/>
          <w:lang w:val="en-US" w:eastAsia="zh-CN"/>
        </w:rPr>
        <w:t>4</w:t>
      </w:r>
      <w:r>
        <w:rPr>
          <w:rFonts w:hint="eastAsia" w:ascii="仿宋_GB2312" w:hAnsi="华文中宋"/>
          <w:bCs/>
          <w:szCs w:val="30"/>
        </w:rPr>
        <w:t>公里，一级公路39.6公里，二级经营性公路35.8公里，分别占贵州收费公路里程的98.</w:t>
      </w:r>
      <w:r>
        <w:rPr>
          <w:rFonts w:hint="eastAsia" w:ascii="仿宋_GB2312" w:hAnsi="华文中宋"/>
          <w:bCs/>
          <w:szCs w:val="30"/>
          <w:lang w:val="en-US" w:eastAsia="zh-CN"/>
        </w:rPr>
        <w:t>6</w:t>
      </w:r>
      <w:r>
        <w:rPr>
          <w:rFonts w:hint="eastAsia" w:ascii="仿宋_GB2312" w:hAnsi="华文中宋"/>
          <w:bCs/>
          <w:szCs w:val="30"/>
        </w:rPr>
        <w:t>%、0.7%、0.7%。政府还贷公路里程2710.</w:t>
      </w:r>
      <w:r>
        <w:rPr>
          <w:rFonts w:hint="eastAsia" w:ascii="仿宋_GB2312" w:hAnsi="华文中宋"/>
          <w:bCs/>
          <w:szCs w:val="30"/>
          <w:lang w:val="en-US" w:eastAsia="zh-CN"/>
        </w:rPr>
        <w:t>4</w:t>
      </w:r>
      <w:r>
        <w:rPr>
          <w:rFonts w:hint="eastAsia" w:ascii="仿宋_GB2312" w:hAnsi="华文中宋"/>
          <w:bCs/>
          <w:szCs w:val="30"/>
        </w:rPr>
        <w:t>公里，占贵州省收费公路的48.8%；经营性公路里程2840.4公里，占贵州省收费公路的51.2%。</w:t>
      </w:r>
    </w:p>
    <w:p>
      <w:pPr>
        <w:pStyle w:val="2"/>
      </w:pPr>
      <w:r>
        <w:rPr>
          <w:rFonts w:hint="eastAsia"/>
        </w:rPr>
        <w:t>贵州省收费公路总体投资情况</w:t>
      </w:r>
    </w:p>
    <w:p>
      <w:pPr>
        <w:snapToGrid w:val="0"/>
        <w:spacing w:line="360" w:lineRule="auto"/>
        <w:ind w:firstLine="600" w:firstLineChars="200"/>
      </w:pPr>
      <w:r>
        <w:rPr>
          <w:rFonts w:hint="eastAsia"/>
          <w:szCs w:val="30"/>
        </w:rPr>
        <w:t>2016年，</w:t>
      </w:r>
      <w:r>
        <w:rPr>
          <w:rFonts w:hint="eastAsia" w:ascii="仿宋_GB2312" w:hAnsi="华文中宋"/>
          <w:bCs/>
          <w:szCs w:val="30"/>
        </w:rPr>
        <w:t>贵州省收费公路累计建设投资总额为4476.5亿元。其中，</w:t>
      </w:r>
      <w:r>
        <w:rPr>
          <w:rFonts w:hint="eastAsia" w:ascii="仿宋_GB2312" w:hAnsi="华文中宋"/>
          <w:bCs/>
          <w:sz w:val="32"/>
          <w:szCs w:val="32"/>
        </w:rPr>
        <w:t>举借银行贷款本金2506.2亿元，举借其他债务本金458.7亿元，分别占收费公路累计建设投资总额的</w:t>
      </w:r>
      <w:r>
        <w:rPr>
          <w:rFonts w:hint="eastAsia" w:ascii="仿宋_GB2312" w:hAnsi="华文中宋"/>
          <w:bCs/>
          <w:sz w:val="32"/>
          <w:szCs w:val="32"/>
          <w:lang w:val="en-US" w:eastAsia="zh-CN"/>
        </w:rPr>
        <w:t>56.0</w:t>
      </w:r>
      <w:r>
        <w:rPr>
          <w:rFonts w:hint="eastAsia" w:ascii="仿宋_GB2312" w:hAnsi="华文中宋"/>
          <w:bCs/>
          <w:sz w:val="32"/>
          <w:szCs w:val="32"/>
        </w:rPr>
        <w:t>%和10.</w:t>
      </w:r>
      <w:r>
        <w:rPr>
          <w:rFonts w:hint="eastAsia" w:ascii="仿宋_GB2312" w:hAnsi="华文中宋"/>
          <w:bCs/>
          <w:sz w:val="32"/>
          <w:szCs w:val="32"/>
          <w:lang w:val="en-US" w:eastAsia="zh-CN"/>
        </w:rPr>
        <w:t>3</w:t>
      </w:r>
      <w:r>
        <w:rPr>
          <w:rFonts w:hint="eastAsia" w:ascii="仿宋_GB2312" w:hAnsi="华文中宋"/>
          <w:bCs/>
          <w:sz w:val="32"/>
          <w:szCs w:val="32"/>
        </w:rPr>
        <w:t>%。</w:t>
      </w:r>
    </w:p>
    <w:p>
      <w:pPr>
        <w:pStyle w:val="2"/>
      </w:pPr>
      <w:r>
        <w:rPr>
          <w:rFonts w:hint="eastAsia"/>
        </w:rPr>
        <w:t>贵州省收费公路投资构成情况</w:t>
      </w:r>
    </w:p>
    <w:p>
      <w:pPr>
        <w:ind w:firstLine="600" w:firstLineChars="200"/>
      </w:pPr>
      <w:r>
        <w:rPr>
          <w:rFonts w:hint="eastAsia"/>
        </w:rPr>
        <w:t>收费公路建设投入资金主要来源于两个方面，一是资本金投入，二是债务性资金投入，两类资金投入，约为三七开比例结构。在债务性资金投入中，公路建设贷款主要依靠银行贷款，银行贷款占债务性资金投入达84.</w:t>
      </w:r>
      <w:r>
        <w:rPr>
          <w:rFonts w:hint="eastAsia"/>
          <w:lang w:val="en-US" w:eastAsia="zh-CN"/>
        </w:rPr>
        <w:t>5</w:t>
      </w:r>
      <w:r>
        <w:rPr>
          <w:rFonts w:hint="eastAsia"/>
        </w:rPr>
        <w:t>%。</w:t>
      </w:r>
    </w:p>
    <w:p>
      <w:pPr>
        <w:pStyle w:val="2"/>
      </w:pPr>
      <w:r>
        <w:rPr>
          <w:rFonts w:hint="eastAsia"/>
        </w:rPr>
        <w:t>贵州收费公路债务余额情况</w:t>
      </w:r>
    </w:p>
    <w:p>
      <w:pPr>
        <w:spacing w:line="560" w:lineRule="exact"/>
        <w:ind w:firstLine="600" w:firstLineChars="200"/>
      </w:pPr>
      <w:r>
        <w:rPr>
          <w:rFonts w:hint="eastAsia"/>
          <w:szCs w:val="30"/>
        </w:rPr>
        <w:t>2016年，</w:t>
      </w:r>
      <w:r>
        <w:rPr>
          <w:rFonts w:hint="eastAsia" w:ascii="仿宋_GB2312" w:hAnsi="华文中宋"/>
          <w:bCs/>
          <w:szCs w:val="30"/>
        </w:rPr>
        <w:t>贵州省收费公路债务余额为2750.</w:t>
      </w:r>
      <w:r>
        <w:rPr>
          <w:rFonts w:hint="eastAsia" w:ascii="仿宋_GB2312" w:hAnsi="华文中宋"/>
          <w:bCs/>
          <w:szCs w:val="30"/>
          <w:lang w:val="en-US" w:eastAsia="zh-CN"/>
        </w:rPr>
        <w:t>1</w:t>
      </w:r>
      <w:r>
        <w:rPr>
          <w:rFonts w:hint="eastAsia" w:ascii="仿宋_GB2312" w:hAnsi="华文中宋"/>
          <w:bCs/>
          <w:szCs w:val="30"/>
        </w:rPr>
        <w:t>亿元，其中</w:t>
      </w:r>
      <w:r>
        <w:rPr>
          <w:rFonts w:hint="eastAsia"/>
        </w:rPr>
        <w:t>政府还贷公路债务余额1218.</w:t>
      </w:r>
      <w:r>
        <w:rPr>
          <w:rFonts w:hint="eastAsia"/>
          <w:lang w:val="en-US" w:eastAsia="zh-CN"/>
        </w:rPr>
        <w:t>9</w:t>
      </w:r>
      <w:r>
        <w:rPr>
          <w:rFonts w:hint="eastAsia"/>
        </w:rPr>
        <w:t xml:space="preserve">亿元，经营性公路债务余额1531.2亿元，分别占收费公路债务余额的44.3%和55.7%。        </w:t>
      </w:r>
    </w:p>
    <w:p>
      <w:pPr>
        <w:pStyle w:val="2"/>
      </w:pPr>
      <w:r>
        <w:rPr>
          <w:rFonts w:hint="eastAsia"/>
        </w:rPr>
        <w:t>贵州省收费公路通行费收支情况</w:t>
      </w:r>
    </w:p>
    <w:p>
      <w:pPr>
        <w:ind w:firstLine="600" w:firstLineChars="200"/>
        <w:rPr>
          <w:szCs w:val="30"/>
        </w:rPr>
      </w:pPr>
      <w:r>
        <w:rPr>
          <w:rFonts w:hint="eastAsia"/>
          <w:szCs w:val="30"/>
        </w:rPr>
        <w:t>2016年，贵州收费公路通行费收入为132.5亿元，支出总额为382.4亿元，其中偿还债务本金和利息支出345.</w:t>
      </w:r>
      <w:r>
        <w:rPr>
          <w:rFonts w:hint="eastAsia"/>
          <w:szCs w:val="30"/>
          <w:lang w:val="en-US" w:eastAsia="zh-CN"/>
        </w:rPr>
        <w:t>8</w:t>
      </w:r>
      <w:r>
        <w:rPr>
          <w:rFonts w:hint="eastAsia"/>
          <w:szCs w:val="30"/>
        </w:rPr>
        <w:t>亿元，</w:t>
      </w:r>
      <w:r>
        <w:rPr>
          <w:rFonts w:hint="eastAsia" w:ascii="仿宋_GB2312" w:hAnsi="华文中宋"/>
          <w:bCs/>
          <w:szCs w:val="30"/>
        </w:rPr>
        <w:t>养护支出9.6亿元，公路附属设施改扩建工程支出3.5亿元，运营管理支出18.0亿元，税费支出4.7亿元，其他支出0.8亿元，分别占收费公路支出总额的90.4％、2.5%、0.9%、4.7%、1.</w:t>
      </w:r>
      <w:r>
        <w:rPr>
          <w:rFonts w:hint="eastAsia" w:ascii="仿宋_GB2312" w:hAnsi="华文中宋"/>
          <w:bCs/>
          <w:szCs w:val="30"/>
          <w:lang w:val="en-US" w:eastAsia="zh-CN"/>
        </w:rPr>
        <w:t>3</w:t>
      </w:r>
      <w:r>
        <w:rPr>
          <w:rFonts w:hint="eastAsia" w:ascii="仿宋_GB2312" w:hAnsi="华文中宋"/>
          <w:bCs/>
          <w:szCs w:val="30"/>
        </w:rPr>
        <w:t>%和0.2%。</w:t>
      </w:r>
    </w:p>
    <w:p>
      <w:pPr>
        <w:pStyle w:val="2"/>
      </w:pPr>
      <w:r>
        <w:rPr>
          <w:rFonts w:hint="eastAsia"/>
        </w:rPr>
        <w:t>贵州收费公路通行费减免情况</w:t>
      </w:r>
    </w:p>
    <w:p>
      <w:pPr>
        <w:ind w:firstLine="600" w:firstLineChars="200"/>
        <w:rPr>
          <w:szCs w:val="30"/>
        </w:rPr>
      </w:pPr>
      <w:r>
        <w:rPr>
          <w:rFonts w:hint="eastAsia"/>
          <w:szCs w:val="30"/>
        </w:rPr>
        <w:t>2016年，全</w:t>
      </w:r>
      <w:r>
        <w:rPr>
          <w:rFonts w:hint="eastAsia" w:ascii="仿宋_GB2312" w:hAnsi="黑体"/>
          <w:szCs w:val="30"/>
        </w:rPr>
        <w:t>省收费公路共减免车辆通行费27.3亿元。其中，鲜活农产品运输车辆减免17.8亿元，重大节假日小型客车免费通行减免8.6亿元，其他政策性减免</w:t>
      </w:r>
      <w:r>
        <w:rPr>
          <w:rFonts w:hint="eastAsia"/>
          <w:szCs w:val="30"/>
        </w:rPr>
        <w:t>（如军警、抢险救灾车辆）</w:t>
      </w:r>
      <w:r>
        <w:rPr>
          <w:rFonts w:hint="eastAsia" w:ascii="仿宋_GB2312" w:hAnsi="黑体"/>
          <w:szCs w:val="30"/>
        </w:rPr>
        <w:t>0.9亿元，分别占通行费减免总额的65.2%、31.5%和3.3%。</w:t>
      </w:r>
    </w:p>
    <w:p>
      <w:pPr>
        <w:widowControl/>
        <w:jc w:val="left"/>
        <w:rPr>
          <w:rFonts w:eastAsia="仿宋"/>
          <w:kern w:val="0"/>
        </w:rPr>
        <w:sectPr>
          <w:pgSz w:w="11906" w:h="16838"/>
          <w:pgMar w:top="1440" w:right="1800" w:bottom="1440" w:left="1800" w:header="851" w:footer="992" w:gutter="0"/>
          <w:cols w:space="720" w:num="1"/>
          <w:docGrid w:type="lines" w:linePitch="312" w:charSpace="0"/>
        </w:sectPr>
      </w:pPr>
    </w:p>
    <w:p>
      <w:pPr>
        <w:spacing w:before="156" w:beforeLines="50" w:after="156" w:afterLines="50"/>
        <w:ind w:firstLine="643"/>
        <w:jc w:val="center"/>
        <w:rPr>
          <w:rFonts w:ascii="黑体" w:hAnsi="黑体" w:eastAsia="黑体"/>
          <w:b/>
          <w:sz w:val="32"/>
          <w:szCs w:val="32"/>
        </w:rPr>
      </w:pPr>
      <w:r>
        <w:rPr>
          <w:rFonts w:hint="eastAsia" w:ascii="黑体" w:hAnsi="黑体" w:eastAsia="黑体"/>
          <w:b/>
          <w:sz w:val="32"/>
          <w:szCs w:val="32"/>
        </w:rPr>
        <w:t>第二部分   数据解读</w:t>
      </w:r>
    </w:p>
    <w:p>
      <w:pPr>
        <w:pStyle w:val="2"/>
      </w:pPr>
      <w:r>
        <w:rPr>
          <w:rFonts w:hint="eastAsia"/>
        </w:rPr>
        <w:t>收费公路主要指标变化。</w:t>
      </w:r>
    </w:p>
    <w:p>
      <w:pPr>
        <w:ind w:firstLine="602" w:firstLineChars="200"/>
      </w:pPr>
      <w:r>
        <w:rPr>
          <w:rFonts w:hint="eastAsia"/>
          <w:b/>
        </w:rPr>
        <w:t>里程：</w:t>
      </w:r>
      <w:r>
        <w:rPr>
          <w:rFonts w:hint="eastAsia"/>
        </w:rPr>
        <w:t>与2015年相比，收费公路总里程增加了438.4公里。</w:t>
      </w:r>
    </w:p>
    <w:p>
      <w:pPr>
        <w:ind w:firstLine="602" w:firstLineChars="200"/>
      </w:pPr>
      <w:r>
        <w:rPr>
          <w:rFonts w:hint="eastAsia"/>
          <w:b/>
        </w:rPr>
        <w:t>投资：</w:t>
      </w:r>
      <w:r>
        <w:rPr>
          <w:rFonts w:hint="eastAsia"/>
        </w:rPr>
        <w:t>与2015年相比，收费公路累计建设投资总额由3974.0亿元增加到4476.5亿元。</w:t>
      </w:r>
    </w:p>
    <w:p>
      <w:pPr>
        <w:spacing w:line="560" w:lineRule="exact"/>
        <w:ind w:firstLine="602" w:firstLineChars="200"/>
        <w:rPr>
          <w:szCs w:val="30"/>
        </w:rPr>
      </w:pPr>
      <w:r>
        <w:rPr>
          <w:rFonts w:hint="eastAsia"/>
          <w:b/>
        </w:rPr>
        <w:t>债务余额</w:t>
      </w:r>
      <w:r>
        <w:rPr>
          <w:rStyle w:val="5"/>
          <w:b/>
        </w:rPr>
        <w:footnoteReference w:id="0"/>
      </w:r>
      <w:r>
        <w:rPr>
          <w:rFonts w:hint="eastAsia"/>
          <w:b/>
        </w:rPr>
        <w:t>：</w:t>
      </w:r>
      <w:r>
        <w:rPr>
          <w:rFonts w:hint="eastAsia" w:ascii="仿宋_GB2312"/>
          <w:szCs w:val="30"/>
        </w:rPr>
        <w:t>根据2015-2016年收费年报统计，2016年债务余额共2750.</w:t>
      </w:r>
      <w:r>
        <w:rPr>
          <w:rFonts w:hint="eastAsia" w:ascii="仿宋_GB2312"/>
          <w:szCs w:val="30"/>
          <w:lang w:val="en-US" w:eastAsia="zh-CN"/>
        </w:rPr>
        <w:t>1</w:t>
      </w:r>
      <w:r>
        <w:rPr>
          <w:rFonts w:hint="eastAsia" w:ascii="仿宋_GB2312"/>
          <w:szCs w:val="30"/>
        </w:rPr>
        <w:t>亿元，较2015年债务余额2539.4亿元增加210.</w:t>
      </w:r>
      <w:r>
        <w:rPr>
          <w:rFonts w:hint="eastAsia" w:ascii="仿宋_GB2312"/>
          <w:szCs w:val="30"/>
          <w:lang w:val="en-US" w:eastAsia="zh-CN"/>
        </w:rPr>
        <w:t>7</w:t>
      </w:r>
      <w:r>
        <w:rPr>
          <w:rFonts w:hint="eastAsia" w:ascii="仿宋_GB2312"/>
          <w:szCs w:val="30"/>
        </w:rPr>
        <w:t>亿元，增幅为8.3%。造成债务余额增长的主要原因有两方面：</w:t>
      </w:r>
      <w:r>
        <w:rPr>
          <w:rFonts w:hint="eastAsia" w:ascii="仿宋_GB2312" w:hAnsi="宋体" w:cs="宋体"/>
          <w:kern w:val="0"/>
          <w:szCs w:val="30"/>
        </w:rPr>
        <w:t>一是通行费收入增长缓慢，尽管通行费总收入绝对值有所增加，但实际上低于债务余额的增长.</w:t>
      </w:r>
      <w:r>
        <w:rPr>
          <w:rFonts w:hint="eastAsia" w:ascii="仿宋_GB2312" w:hAnsi="黑体"/>
          <w:szCs w:val="30"/>
        </w:rPr>
        <w:t>二是</w:t>
      </w:r>
      <w:r>
        <w:rPr>
          <w:rFonts w:hint="eastAsia" w:ascii="仿宋_GB2312"/>
          <w:szCs w:val="30"/>
        </w:rPr>
        <w:t>2015年通车高速公路还本付息所产生的资金增大，后期仍需建设资金的支持。</w:t>
      </w:r>
      <w:r>
        <w:rPr>
          <w:rFonts w:hint="eastAsia"/>
          <w:szCs w:val="30"/>
        </w:rPr>
        <w:t xml:space="preserve"> </w:t>
      </w:r>
    </w:p>
    <w:p>
      <w:pPr>
        <w:ind w:firstLine="602" w:firstLineChars="200"/>
      </w:pPr>
      <w:r>
        <w:rPr>
          <w:rFonts w:hint="eastAsia"/>
          <w:b/>
        </w:rPr>
        <w:t>收入情况：</w:t>
      </w:r>
      <w:r>
        <w:rPr>
          <w:rFonts w:hint="eastAsia"/>
        </w:rPr>
        <w:t>与2015年相比，收费公路车辆通行费总收入由110亿元增加到132.5亿元，净增22.5亿元，增长20.</w:t>
      </w:r>
      <w:r>
        <w:rPr>
          <w:rFonts w:hint="eastAsia"/>
          <w:lang w:val="en-US" w:eastAsia="zh-CN"/>
        </w:rPr>
        <w:t>5</w:t>
      </w:r>
      <w:r>
        <w:rPr>
          <w:rFonts w:hint="eastAsia"/>
        </w:rPr>
        <w:t>%。</w:t>
      </w:r>
    </w:p>
    <w:p>
      <w:pPr>
        <w:ind w:firstLine="602" w:firstLineChars="200"/>
        <w:rPr>
          <w:szCs w:val="30"/>
        </w:rPr>
      </w:pPr>
      <w:r>
        <w:rPr>
          <w:rFonts w:hint="eastAsia"/>
          <w:b/>
        </w:rPr>
        <w:t>支出情况：</w:t>
      </w:r>
      <w:r>
        <w:rPr>
          <w:rFonts w:hint="eastAsia"/>
        </w:rPr>
        <w:t>与2015年相比，收费公路支出总额由211.2亿元增加到382.4亿元。 2016年</w:t>
      </w:r>
      <w:r>
        <w:rPr>
          <w:rFonts w:hint="eastAsia"/>
          <w:szCs w:val="30"/>
        </w:rPr>
        <w:t>还本付息支出占支出总额的90.4 %。通行费收支缺口249.9亿元。</w:t>
      </w:r>
    </w:p>
    <w:p>
      <w:pPr>
        <w:ind w:firstLine="600" w:firstLineChars="200"/>
      </w:pPr>
    </w:p>
    <w:p>
      <w:pPr>
        <w:pStyle w:val="2"/>
      </w:pPr>
      <w:r>
        <w:rPr>
          <w:rFonts w:hint="eastAsia"/>
        </w:rPr>
        <w:t>通行费减免总体情况如何？主要减免哪些费用？</w:t>
      </w:r>
    </w:p>
    <w:p>
      <w:pPr>
        <w:ind w:firstLine="600" w:firstLineChars="200"/>
        <w:rPr>
          <w:szCs w:val="30"/>
        </w:rPr>
      </w:pPr>
      <w:r>
        <w:rPr>
          <w:rFonts w:hint="eastAsia"/>
        </w:rPr>
        <w:t>2016年贵州省收费公路通行费减免额为27.3亿元，主要减免了三类车辆通行费。一类是鲜活农产品运输车辆绿色通道</w:t>
      </w:r>
      <w:r>
        <w:rPr>
          <w:rFonts w:hint="eastAsia"/>
          <w:lang w:val="en-US" w:eastAsia="zh-CN"/>
        </w:rPr>
        <w:t>政策</w:t>
      </w:r>
      <w:r>
        <w:rPr>
          <w:rFonts w:hint="eastAsia"/>
        </w:rPr>
        <w:t>减免17.8亿元，按照国务院规定这项减免政策从2004年11月1日实施到现在已经十四年，主要是为了降低农副产品流通成本，完善鲜活农产品运输绿色通道。第二类是</w:t>
      </w:r>
      <w:r>
        <w:rPr>
          <w:rFonts w:hint="eastAsia"/>
          <w:lang w:eastAsia="zh-CN"/>
        </w:rPr>
        <w:t>重大</w:t>
      </w:r>
      <w:r>
        <w:rPr>
          <w:rFonts w:hint="eastAsia"/>
        </w:rPr>
        <w:t>节假日小型客车免费通行减免8.6亿元。第三类是其他政策减免0.9亿元。绿色通道减免占到通行费减免总额的65.2%，是减免最多的部分，其次节假日减免占31.5％。另外，我省从2016年3月份</w:t>
      </w:r>
      <w:r>
        <w:rPr>
          <w:rFonts w:hint="eastAsia"/>
          <w:lang w:eastAsia="zh-CN"/>
        </w:rPr>
        <w:t>起</w:t>
      </w:r>
      <w:r>
        <w:rPr>
          <w:rFonts w:hint="eastAsia"/>
        </w:rPr>
        <w:t>实行</w:t>
      </w:r>
      <w:r>
        <w:rPr>
          <w:rFonts w:hint="eastAsia" w:ascii="仿宋_GB2312" w:cstheme="minorBidi"/>
          <w:szCs w:val="30"/>
        </w:rPr>
        <w:t>供给侧结构性改革对货运车辆通行费实施优惠（最高可达8.9折），以及使用</w:t>
      </w:r>
      <w:r>
        <w:rPr>
          <w:rFonts w:hint="eastAsia"/>
          <w:szCs w:val="30"/>
        </w:rPr>
        <w:t>ETC非现金支付通行9.5折优惠等。</w:t>
      </w:r>
    </w:p>
    <w:p>
      <w:pPr>
        <w:ind w:firstLine="600" w:firstLineChars="200"/>
      </w:pPr>
    </w:p>
    <w:p>
      <w:pPr>
        <w:pStyle w:val="2"/>
      </w:pPr>
      <w:r>
        <w:rPr>
          <w:rFonts w:hint="eastAsia"/>
        </w:rPr>
        <w:t>《公报》数据主要来自哪里？</w:t>
      </w:r>
    </w:p>
    <w:p>
      <w:pPr>
        <w:ind w:firstLine="600" w:firstLineChars="200"/>
        <w:rPr>
          <w:rFonts w:ascii="仿宋_GB2312"/>
        </w:rPr>
      </w:pPr>
      <w:r>
        <w:rPr>
          <w:rFonts w:hint="eastAsia" w:ascii="仿宋_GB2312"/>
        </w:rPr>
        <w:t>数据来自各项目运营公司，每个单位对自己填报的数据负法律责任。按照相关统计制度规定，已经停止收费的公路项目,不在《公报》的统计范围。</w:t>
      </w:r>
    </w:p>
    <w:p>
      <w:pPr>
        <w:rPr>
          <w:rFonts w:ascii="楷体_GB2312" w:eastAsia="楷体_GB2312"/>
          <w:b/>
        </w:rPr>
      </w:pPr>
    </w:p>
    <w:p>
      <w:pPr>
        <w:rPr>
          <w:rFonts w:ascii="楷体_GB2312" w:eastAsia="楷体_GB2312"/>
          <w:b/>
        </w:rPr>
      </w:pPr>
    </w:p>
    <w:p>
      <w:pPr>
        <w:rPr>
          <w:rFonts w:ascii="楷体_GB2312" w:eastAsia="楷体_GB2312"/>
          <w:b/>
        </w:rPr>
      </w:pPr>
      <w:r>
        <w:rPr>
          <w:rFonts w:hint="eastAsia" w:ascii="楷体_GB2312" w:eastAsia="楷体_GB2312"/>
          <w:b/>
        </w:rPr>
        <w:t>附：相关法律法规依据</w:t>
      </w:r>
    </w:p>
    <w:p>
      <w:pPr>
        <w:pStyle w:val="9"/>
        <w:numPr>
          <w:ilvl w:val="0"/>
          <w:numId w:val="2"/>
        </w:numPr>
        <w:ind w:firstLineChars="0"/>
        <w:rPr>
          <w:rFonts w:ascii="楷体_GB2312" w:eastAsia="楷体_GB2312"/>
        </w:rPr>
      </w:pPr>
      <w:r>
        <w:rPr>
          <w:rFonts w:hint="eastAsia" w:ascii="楷体_GB2312" w:eastAsia="楷体_GB2312"/>
        </w:rPr>
        <w:t>中华人民共和国公路法</w:t>
      </w:r>
    </w:p>
    <w:p>
      <w:pPr>
        <w:pStyle w:val="9"/>
        <w:numPr>
          <w:ilvl w:val="0"/>
          <w:numId w:val="2"/>
        </w:numPr>
        <w:ind w:firstLineChars="0"/>
        <w:rPr>
          <w:rFonts w:ascii="楷体_GB2312" w:eastAsia="楷体_GB2312"/>
        </w:rPr>
      </w:pPr>
      <w:r>
        <w:rPr>
          <w:rFonts w:hint="eastAsia" w:ascii="楷体_GB2312" w:eastAsia="楷体_GB2312"/>
        </w:rPr>
        <w:t>中华人民共和国统计法</w:t>
      </w:r>
    </w:p>
    <w:p>
      <w:pPr>
        <w:pStyle w:val="9"/>
        <w:numPr>
          <w:ilvl w:val="0"/>
          <w:numId w:val="2"/>
        </w:numPr>
        <w:ind w:firstLineChars="0"/>
        <w:rPr>
          <w:rFonts w:ascii="楷体_GB2312" w:eastAsia="楷体_GB2312"/>
        </w:rPr>
      </w:pPr>
      <w:r>
        <w:rPr>
          <w:rFonts w:hint="eastAsia" w:ascii="楷体_GB2312" w:eastAsia="楷体_GB2312"/>
        </w:rPr>
        <w:t>中华人民共和国政府信息公开条例</w:t>
      </w:r>
    </w:p>
    <w:p>
      <w:pPr>
        <w:rPr>
          <w:rFonts w:ascii="楷体_GB2312" w:eastAsia="楷体_GB2312"/>
        </w:rPr>
      </w:pPr>
      <w:r>
        <w:rPr>
          <w:rFonts w:hint="eastAsia" w:ascii="楷体_GB2312" w:eastAsia="楷体_GB2312"/>
        </w:rPr>
        <w:t>4、  收费公路管理条例</w:t>
      </w:r>
    </w:p>
    <w:p>
      <w:r>
        <w:rPr>
          <w:rFonts w:hint="eastAsia" w:ascii="楷体" w:hAnsi="楷体" w:eastAsia="楷体"/>
          <w:szCs w:val="30"/>
        </w:rPr>
        <w:t xml:space="preserve">5、  </w:t>
      </w:r>
      <w:r>
        <w:rPr>
          <w:rFonts w:hint="eastAsia" w:ascii="楷体" w:hAnsi="楷体" w:eastAsia="楷体" w:cstheme="minorBidi"/>
          <w:szCs w:val="30"/>
        </w:rPr>
        <w:t>省人民政府办公厅关于调整收费公路车辆通行费标准和高速公路货车试行计重收费有关问题的通知（黔府办发【2007】37号）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pPr>
      <w:r>
        <w:rPr>
          <w:rStyle w:val="5"/>
        </w:rPr>
        <w:footnoteRef/>
      </w:r>
      <w:r>
        <w:rPr>
          <w:rFonts w:hint="eastAsia"/>
        </w:rPr>
        <w:t xml:space="preserve"> “债务余额”指的是年末银行贷款余额和年末其他债务余额的总数。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6547D"/>
    <w:multiLevelType w:val="multilevel"/>
    <w:tmpl w:val="2AB6547D"/>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DC7829"/>
    <w:multiLevelType w:val="multilevel"/>
    <w:tmpl w:val="70DC7829"/>
    <w:lvl w:ilvl="0" w:tentative="0">
      <w:start w:val="1"/>
      <w:numFmt w:val="decimal"/>
      <w:pStyle w:val="2"/>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C3"/>
    <w:rsid w:val="003230E3"/>
    <w:rsid w:val="00614F48"/>
    <w:rsid w:val="0065496D"/>
    <w:rsid w:val="00711FF8"/>
    <w:rsid w:val="00744325"/>
    <w:rsid w:val="008529B2"/>
    <w:rsid w:val="00A8304F"/>
    <w:rsid w:val="00EE01C3"/>
    <w:rsid w:val="00F80EF1"/>
    <w:rsid w:val="2E2A50E6"/>
    <w:rsid w:val="2EBC39E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_GB2312" w:cs="Times New Roman"/>
      <w:kern w:val="2"/>
      <w:sz w:val="30"/>
      <w:szCs w:val="22"/>
      <w:lang w:val="en-US" w:eastAsia="zh-CN" w:bidi="ar-SA"/>
    </w:rPr>
  </w:style>
  <w:style w:type="paragraph" w:styleId="2">
    <w:name w:val="heading 1"/>
    <w:basedOn w:val="1"/>
    <w:next w:val="1"/>
    <w:link w:val="7"/>
    <w:qFormat/>
    <w:uiPriority w:val="0"/>
    <w:pPr>
      <w:keepNext/>
      <w:keepLines/>
      <w:numPr>
        <w:ilvl w:val="0"/>
        <w:numId w:val="1"/>
      </w:numPr>
      <w:spacing w:before="120" w:after="120" w:line="360" w:lineRule="auto"/>
      <w:outlineLvl w:val="0"/>
    </w:pPr>
    <w:rPr>
      <w:rFonts w:ascii="黑体" w:hAnsi="黑体" w:eastAsia="黑体"/>
      <w:bCs/>
      <w:kern w:val="44"/>
      <w:szCs w:val="30"/>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note text"/>
    <w:basedOn w:val="1"/>
    <w:link w:val="8"/>
    <w:unhideWhenUsed/>
    <w:qFormat/>
    <w:uiPriority w:val="99"/>
    <w:pPr>
      <w:snapToGrid w:val="0"/>
      <w:jc w:val="left"/>
    </w:pPr>
    <w:rPr>
      <w:sz w:val="18"/>
      <w:szCs w:val="18"/>
    </w:rPr>
  </w:style>
  <w:style w:type="character" w:styleId="5">
    <w:name w:val="footnote reference"/>
    <w:basedOn w:val="4"/>
    <w:unhideWhenUsed/>
    <w:qFormat/>
    <w:uiPriority w:val="99"/>
    <w:rPr>
      <w:vertAlign w:val="superscript"/>
    </w:rPr>
  </w:style>
  <w:style w:type="character" w:customStyle="1" w:styleId="7">
    <w:name w:val="标题 1 Char"/>
    <w:basedOn w:val="4"/>
    <w:link w:val="2"/>
    <w:uiPriority w:val="0"/>
    <w:rPr>
      <w:rFonts w:ascii="黑体" w:hAnsi="黑体" w:eastAsia="黑体" w:cs="Times New Roman"/>
      <w:bCs/>
      <w:kern w:val="44"/>
      <w:sz w:val="30"/>
      <w:szCs w:val="30"/>
    </w:rPr>
  </w:style>
  <w:style w:type="character" w:customStyle="1" w:styleId="8">
    <w:name w:val="脚注文本 Char"/>
    <w:basedOn w:val="4"/>
    <w:link w:val="3"/>
    <w:semiHidden/>
    <w:qFormat/>
    <w:uiPriority w:val="99"/>
    <w:rPr>
      <w:rFonts w:ascii="仿宋" w:hAnsi="仿宋" w:eastAsia="仿宋_GB2312"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5DEC5-8B3B-497D-81D2-DC0BEFB3F3F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291</Words>
  <Characters>1660</Characters>
  <Lines>13</Lines>
  <Paragraphs>3</Paragraphs>
  <TotalTime>0</TotalTime>
  <ScaleCrop>false</ScaleCrop>
  <LinksUpToDate>false</LinksUpToDate>
  <CharactersWithSpaces>1948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2017-06-22T02:48:00Z</dcterms:created>
  <dc:creator>ꮈॻy</dc:creator>
  <cp:lastModifiedBy>Lenovo</cp:lastModifiedBy>
  <cp:lastPrinted>2017-06-22T02:52:00Z</cp:lastPrinted>
  <dcterms:modified xsi:type="dcterms:W3CDTF">2017-06-27T02:59:25Z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