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E92D3">
      <w:pPr>
        <w:spacing w:line="360" w:lineRule="auto"/>
        <w:jc w:val="center"/>
        <w:rPr>
          <w:rFonts w:hint="default" w:ascii="Times New Roman" w:hAnsi="Times New Roman" w:eastAsia="仿宋_GB2312" w:cs="Times New Roman"/>
          <w:b/>
          <w:snapToGrid w:val="0"/>
          <w:kern w:val="0"/>
          <w:position w:val="6"/>
          <w:sz w:val="52"/>
          <w:szCs w:val="52"/>
        </w:rPr>
      </w:pPr>
    </w:p>
    <w:p w14:paraId="5111C6B3">
      <w:pPr>
        <w:spacing w:line="360" w:lineRule="auto"/>
        <w:jc w:val="center"/>
        <w:rPr>
          <w:rFonts w:hint="default" w:ascii="Times New Roman" w:hAnsi="Times New Roman" w:eastAsia="仿宋_GB2312" w:cs="Times New Roman"/>
          <w:b/>
          <w:snapToGrid w:val="0"/>
          <w:kern w:val="0"/>
          <w:position w:val="6"/>
          <w:sz w:val="52"/>
          <w:szCs w:val="52"/>
        </w:rPr>
      </w:pPr>
    </w:p>
    <w:p w14:paraId="6F69523B">
      <w:pPr>
        <w:spacing w:line="360" w:lineRule="auto"/>
        <w:jc w:val="center"/>
        <w:rPr>
          <w:rFonts w:hint="eastAsia" w:eastAsia="仿宋_GB2312" w:cs="Times New Roman"/>
          <w:b/>
          <w:snapToGrid w:val="0"/>
          <w:kern w:val="0"/>
          <w:position w:val="6"/>
          <w:sz w:val="44"/>
          <w:szCs w:val="44"/>
          <w:u w:val="none"/>
          <w:lang w:val="en-US" w:eastAsia="zh-CN"/>
        </w:rPr>
      </w:pPr>
      <w:r>
        <w:rPr>
          <w:rFonts w:hint="eastAsia" w:eastAsia="仿宋_GB2312" w:cs="Times New Roman"/>
          <w:b/>
          <w:snapToGrid w:val="0"/>
          <w:kern w:val="0"/>
          <w:position w:val="6"/>
          <w:sz w:val="44"/>
          <w:szCs w:val="44"/>
          <w:u w:val="none"/>
          <w:lang w:val="en-US" w:eastAsia="zh-CN"/>
        </w:rPr>
        <w:t>贵州省交通运输厅技术指南</w:t>
      </w:r>
    </w:p>
    <w:p w14:paraId="53DB7036">
      <w:pPr>
        <w:spacing w:line="360" w:lineRule="auto"/>
        <w:jc w:val="center"/>
        <w:rPr>
          <w:rFonts w:hint="eastAsia"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44"/>
          <w:szCs w:val="44"/>
          <w:u w:val="single"/>
          <w:lang w:val="en-US" w:eastAsia="zh-CN"/>
        </w:rPr>
        <w:t xml:space="preserve">                       </w:t>
      </w:r>
    </w:p>
    <w:p w14:paraId="64C4195F">
      <w:pPr>
        <w:spacing w:line="360" w:lineRule="auto"/>
        <w:jc w:val="center"/>
        <w:rPr>
          <w:rFonts w:hint="default" w:eastAsia="仿宋_GB2312" w:cs="Times New Roman"/>
          <w:b/>
          <w:snapToGrid w:val="0"/>
          <w:kern w:val="0"/>
          <w:position w:val="6"/>
          <w:sz w:val="44"/>
          <w:szCs w:val="44"/>
          <w:u w:val="single"/>
          <w:lang w:val="en-US" w:eastAsia="zh-CN"/>
        </w:rPr>
      </w:pPr>
      <w:r>
        <w:rPr>
          <w:rFonts w:hint="eastAsia" w:eastAsia="仿宋_GB2312" w:cs="Times New Roman"/>
          <w:b/>
          <w:snapToGrid w:val="0"/>
          <w:kern w:val="0"/>
          <w:position w:val="6"/>
          <w:sz w:val="36"/>
          <w:szCs w:val="36"/>
          <w:u w:val="single"/>
          <w:lang w:val="en-US" w:eastAsia="zh-CN"/>
        </w:rPr>
        <w:t xml:space="preserve">                            JTZN****—2025</w:t>
      </w:r>
      <w:r>
        <w:rPr>
          <w:rFonts w:hint="eastAsia" w:eastAsia="仿宋_GB2312" w:cs="Times New Roman"/>
          <w:b/>
          <w:snapToGrid w:val="0"/>
          <w:kern w:val="0"/>
          <w:position w:val="6"/>
          <w:sz w:val="44"/>
          <w:szCs w:val="44"/>
          <w:u w:val="single"/>
          <w:lang w:val="en-US" w:eastAsia="zh-CN"/>
        </w:rPr>
        <w:t xml:space="preserve">  </w:t>
      </w:r>
    </w:p>
    <w:p w14:paraId="59DE3673">
      <w:pPr>
        <w:spacing w:line="360" w:lineRule="auto"/>
        <w:jc w:val="center"/>
        <w:rPr>
          <w:rFonts w:hint="default" w:eastAsia="仿宋_GB2312" w:cs="Times New Roman"/>
          <w:b/>
          <w:snapToGrid w:val="0"/>
          <w:kern w:val="0"/>
          <w:position w:val="6"/>
          <w:sz w:val="44"/>
          <w:szCs w:val="44"/>
          <w:u w:val="single"/>
          <w:lang w:val="en-US" w:eastAsia="zh-CN"/>
        </w:rPr>
      </w:pPr>
    </w:p>
    <w:p w14:paraId="3F412247">
      <w:pPr>
        <w:spacing w:line="360" w:lineRule="auto"/>
        <w:jc w:val="center"/>
        <w:rPr>
          <w:rFonts w:hint="default" w:ascii="Times New Roman" w:hAnsi="Times New Roman" w:eastAsia="仿宋_GB2312" w:cs="Times New Roman"/>
          <w:b/>
          <w:snapToGrid w:val="0"/>
          <w:kern w:val="0"/>
          <w:position w:val="6"/>
          <w:sz w:val="52"/>
          <w:szCs w:val="52"/>
        </w:rPr>
      </w:pPr>
    </w:p>
    <w:p w14:paraId="6BCBDD43">
      <w:pPr>
        <w:spacing w:line="360" w:lineRule="auto"/>
        <w:jc w:val="center"/>
        <w:rPr>
          <w:rFonts w:hint="default" w:ascii="Times New Roman" w:hAnsi="Times New Roman" w:eastAsia="仿宋_GB2312" w:cs="Times New Roman"/>
          <w:b/>
          <w:snapToGrid w:val="0"/>
          <w:kern w:val="0"/>
          <w:position w:val="6"/>
          <w:sz w:val="52"/>
          <w:szCs w:val="52"/>
        </w:rPr>
      </w:pPr>
    </w:p>
    <w:p w14:paraId="39A26D1C">
      <w:pPr>
        <w:spacing w:line="360" w:lineRule="auto"/>
        <w:jc w:val="center"/>
        <w:rPr>
          <w:rFonts w:hint="default" w:ascii="Times New Roman" w:hAnsi="Times New Roman" w:eastAsia="仿宋_GB2312" w:cs="Times New Roman"/>
          <w:b/>
          <w:snapToGrid w:val="0"/>
          <w:kern w:val="0"/>
          <w:position w:val="6"/>
          <w:sz w:val="52"/>
          <w:szCs w:val="52"/>
        </w:rPr>
      </w:pPr>
      <w:r>
        <w:rPr>
          <w:rFonts w:hint="default" w:ascii="Times New Roman" w:hAnsi="Times New Roman" w:eastAsia="仿宋_GB2312" w:cs="Times New Roman"/>
          <w:b/>
          <w:snapToGrid w:val="0"/>
          <w:kern w:val="0"/>
          <w:position w:val="6"/>
          <w:sz w:val="52"/>
          <w:szCs w:val="52"/>
        </w:rPr>
        <w:t>高延弹超薄罩面施工技术指南</w:t>
      </w:r>
    </w:p>
    <w:p w14:paraId="274095CD">
      <w:pPr>
        <w:spacing w:line="360" w:lineRule="auto"/>
        <w:jc w:val="center"/>
        <w:rPr>
          <w:rFonts w:hint="default" w:ascii="Times New Roman" w:hAnsi="Times New Roman" w:eastAsia="仿宋_GB2312" w:cs="Times New Roman"/>
          <w:b/>
          <w:snapToGrid w:val="0"/>
          <w:kern w:val="0"/>
          <w:position w:val="6"/>
          <w:sz w:val="52"/>
          <w:szCs w:val="52"/>
        </w:rPr>
      </w:pPr>
    </w:p>
    <w:p w14:paraId="4389D013">
      <w:pPr>
        <w:pStyle w:val="4"/>
        <w:jc w:val="center"/>
        <w:rPr>
          <w:rFonts w:hint="default" w:ascii="Times New Roman" w:hAnsi="Times New Roman" w:cs="Times New Roman"/>
          <w:sz w:val="34"/>
        </w:rPr>
      </w:pPr>
      <w:r>
        <w:rPr>
          <w:rFonts w:hint="default" w:ascii="Times New Roman" w:hAnsi="Times New Roman" w:eastAsia="仿宋_GB2312" w:cs="Times New Roman"/>
          <w:b/>
          <w:snapToGrid w:val="0"/>
          <w:kern w:val="0"/>
          <w:position w:val="6"/>
          <w:sz w:val="52"/>
          <w:szCs w:val="52"/>
        </w:rPr>
        <w:t>（</w:t>
      </w:r>
      <w:r>
        <w:rPr>
          <w:rFonts w:hint="default" w:ascii="Times New Roman" w:hAnsi="Times New Roman" w:eastAsia="仿宋_GB2312" w:cs="Times New Roman"/>
          <w:b/>
          <w:snapToGrid w:val="0"/>
          <w:kern w:val="0"/>
          <w:position w:val="6"/>
          <w:sz w:val="52"/>
          <w:szCs w:val="52"/>
          <w:lang w:val="en-US" w:eastAsia="zh-CN"/>
        </w:rPr>
        <w:t>试行</w:t>
      </w:r>
      <w:r>
        <w:rPr>
          <w:rFonts w:hint="default" w:ascii="Times New Roman" w:hAnsi="Times New Roman" w:eastAsia="仿宋_GB2312" w:cs="Times New Roman"/>
          <w:b/>
          <w:snapToGrid w:val="0"/>
          <w:kern w:val="0"/>
          <w:position w:val="6"/>
          <w:sz w:val="52"/>
          <w:szCs w:val="52"/>
        </w:rPr>
        <w:t>）</w:t>
      </w:r>
    </w:p>
    <w:p w14:paraId="19004BF6">
      <w:pPr>
        <w:pStyle w:val="4"/>
        <w:rPr>
          <w:rFonts w:hint="default" w:ascii="Times New Roman" w:hAnsi="Times New Roman" w:cs="Times New Roman"/>
          <w:sz w:val="34"/>
        </w:rPr>
      </w:pPr>
    </w:p>
    <w:p w14:paraId="00DC9DED">
      <w:pPr>
        <w:pStyle w:val="4"/>
        <w:rPr>
          <w:rFonts w:hint="default" w:ascii="Times New Roman" w:hAnsi="Times New Roman" w:cs="Times New Roman"/>
          <w:sz w:val="34"/>
        </w:rPr>
      </w:pPr>
    </w:p>
    <w:p w14:paraId="6D84D03F">
      <w:pPr>
        <w:pStyle w:val="4"/>
        <w:rPr>
          <w:rFonts w:hint="default" w:ascii="Times New Roman" w:hAnsi="Times New Roman" w:cs="Times New Roman"/>
          <w:sz w:val="34"/>
        </w:rPr>
      </w:pPr>
    </w:p>
    <w:p w14:paraId="1735E615">
      <w:pPr>
        <w:pStyle w:val="4"/>
        <w:rPr>
          <w:rFonts w:hint="default" w:ascii="Times New Roman" w:hAnsi="Times New Roman" w:cs="Times New Roman"/>
          <w:sz w:val="34"/>
        </w:rPr>
      </w:pPr>
    </w:p>
    <w:p w14:paraId="17E36C66">
      <w:pPr>
        <w:pStyle w:val="4"/>
        <w:rPr>
          <w:rFonts w:hint="default" w:ascii="Times New Roman" w:hAnsi="Times New Roman" w:cs="Times New Roman"/>
          <w:sz w:val="34"/>
        </w:rPr>
      </w:pPr>
    </w:p>
    <w:p w14:paraId="595E011E">
      <w:pPr>
        <w:jc w:val="center"/>
        <w:rPr>
          <w:rFonts w:hint="eastAsia" w:ascii="宋体" w:hAnsi="宋体" w:eastAsia="宋体" w:cs="宋体"/>
          <w:sz w:val="28"/>
          <w:szCs w:val="36"/>
          <w:u w:val="thick"/>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p>
    <w:p w14:paraId="040A67D7">
      <w:pPr>
        <w:jc w:val="both"/>
        <w:rPr>
          <w:rFonts w:hint="default" w:ascii="Times New Roman" w:hAnsi="Times New Roman" w:eastAsia="仿宋_GB2312" w:cs="Times New Roman"/>
          <w:u w:val="single"/>
          <w:lang w:val="en-US" w:eastAsia="zh-CN"/>
        </w:rPr>
      </w:pPr>
      <w:r>
        <w:rPr>
          <w:rFonts w:hint="eastAsia" w:ascii="Times New Roman" w:hAnsi="Times New Roman" w:eastAsia="仿宋_GB2312" w:cs="Times New Roman"/>
          <w:u w:val="thick"/>
          <w:lang w:val="en-US" w:eastAsia="zh-CN"/>
        </w:rPr>
        <w:t xml:space="preserve">                                                                                          </w:t>
      </w:r>
      <w:r>
        <w:rPr>
          <w:rFonts w:hint="eastAsia" w:ascii="Times New Roman" w:hAnsi="Times New Roman" w:eastAsia="仿宋_GB2312" w:cs="Times New Roman"/>
          <w:u w:val="single"/>
          <w:lang w:val="en-US" w:eastAsia="zh-CN"/>
        </w:rPr>
        <w:t xml:space="preserve"> </w:t>
      </w:r>
    </w:p>
    <w:p w14:paraId="186D0859">
      <w:pPr>
        <w:jc w:val="center"/>
        <w:rPr>
          <w:rFonts w:hint="default" w:ascii="Times New Roman" w:hAnsi="Times New Roman" w:eastAsia="仿宋_GB2312" w:cs="Times New Roman"/>
        </w:rPr>
      </w:pPr>
    </w:p>
    <w:p w14:paraId="2C19E17C">
      <w:pPr>
        <w:jc w:val="center"/>
        <w:rPr>
          <w:rFonts w:hint="default" w:ascii="Times New Roman" w:hAnsi="Times New Roman" w:eastAsia="仿宋_GB2312" w:cs="Times New Roman"/>
        </w:rPr>
      </w:pPr>
    </w:p>
    <w:p w14:paraId="5ACFDD2E">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        发布</w:t>
      </w:r>
    </w:p>
    <w:p w14:paraId="4B877021">
      <w:pPr>
        <w:widowControl/>
        <w:jc w:val="left"/>
        <w:rPr>
          <w:rFonts w:hint="default" w:ascii="Times New Roman" w:hAnsi="Times New Roman" w:cs="Times New Roman"/>
          <w:sz w:val="34"/>
        </w:rPr>
      </w:pPr>
    </w:p>
    <w:p w14:paraId="6457D22E">
      <w:pPr>
        <w:widowControl/>
        <w:jc w:val="left"/>
        <w:rPr>
          <w:rFonts w:hint="default" w:ascii="Times New Roman" w:hAnsi="Times New Roman" w:cs="Times New Roman"/>
          <w:sz w:val="34"/>
        </w:rPr>
      </w:pPr>
    </w:p>
    <w:p w14:paraId="646D78B5">
      <w:pPr>
        <w:jc w:val="center"/>
        <w:rPr>
          <w:rFonts w:hint="default" w:ascii="Times New Roman" w:hAnsi="Times New Roman" w:cs="Times New Roman"/>
          <w:kern w:val="0"/>
          <w:sz w:val="32"/>
          <w:szCs w:val="32"/>
        </w:rPr>
      </w:pPr>
      <w:r>
        <w:rPr>
          <w:rFonts w:hint="default" w:ascii="Times New Roman" w:hAnsi="Times New Roman" w:cs="Times New Roman"/>
          <w:bCs/>
          <w:kern w:val="0"/>
          <w:sz w:val="32"/>
          <w:szCs w:val="32"/>
        </w:rPr>
        <w:t>前  言</w:t>
      </w:r>
    </w:p>
    <w:p w14:paraId="6E0B7110">
      <w:pPr>
        <w:spacing w:line="348" w:lineRule="auto"/>
        <w:ind w:firstLine="480" w:firstLineChars="200"/>
        <w:rPr>
          <w:rFonts w:hint="default" w:ascii="Times New Roman" w:hAnsi="Times New Roman" w:cs="Times New Roman"/>
          <w:color w:val="000000" w:themeColor="text1"/>
          <w:sz w:val="24"/>
          <w:szCs w:val="40"/>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为推进“双碳”目标的实现，提升贵州省公路沥青路面的养护水平，编写组经广泛调查研究，查阅了大量相关文献资料，参考了国内外先进标准与科研成果，并在广泛征求意见的基础上，特制定《高延弹超薄罩面施工技术指南》，以下简称《指南》。此指南在现有相关行业标准与指南的基础上，结合了贵州省的实际情况和地方工程经验， 提出了符合高延弹超薄罩面养护技术的设计、施工质量控制及验收方法，进一步规范了高延弹超薄罩面养护技术的施工质量与验收标准，为高延弹超薄罩面养护技术提供技术支撑。</w:t>
      </w:r>
    </w:p>
    <w:p w14:paraId="4A30D266">
      <w:pPr>
        <w:spacing w:line="348" w:lineRule="auto"/>
        <w:ind w:firstLine="480" w:firstLineChars="200"/>
        <w:rPr>
          <w:rFonts w:hint="default" w:ascii="Times New Roman" w:hAnsi="Times New Roman" w:cs="Times New Roman"/>
          <w:color w:val="000000" w:themeColor="text1"/>
          <w:sz w:val="24"/>
          <w:szCs w:val="40"/>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本标准由 1 总则，2 规范性引用文件，3 术语和符号，4 基本规定，5 材料，6 高延弹超薄罩面设计，7 施工，8 施工质量控制与检查验收构成。</w:t>
      </w:r>
    </w:p>
    <w:p w14:paraId="1896589A">
      <w:pPr>
        <w:spacing w:line="348" w:lineRule="auto"/>
        <w:ind w:firstLine="480" w:firstLineChars="200"/>
        <w:rPr>
          <w:rFonts w:hint="default" w:ascii="Times New Roman" w:hAnsi="Times New Roman" w:cs="Times New Roman"/>
          <w:color w:val="000000" w:themeColor="text1"/>
          <w:sz w:val="24"/>
          <w:szCs w:val="40"/>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请各有关单位在使用本标准过程中，将发现的问题和意见，函告本标准日常管理组，联系人：吕泉（地址：上海市嘉定区曹安公路4800号，同济大学嘉定校区，邮编：200092，电话：18317152095，电子邮箱：100026787@qq.com），以便下次修订时参考。</w:t>
      </w:r>
    </w:p>
    <w:p w14:paraId="4AD5A494">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批准单位：贵州省交通运输厅</w:t>
      </w:r>
    </w:p>
    <w:p w14:paraId="7E99ADE2">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主编单位：贵州高速公路实业有限公司</w:t>
      </w:r>
    </w:p>
    <w:p w14:paraId="6CE1C78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贵州高速公路集团有限公司</w:t>
      </w:r>
    </w:p>
    <w:p w14:paraId="2456C64C">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参编单位：同济大学</w:t>
      </w:r>
    </w:p>
    <w:p w14:paraId="5C2DECC0">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贵州黔和物流有限公司</w:t>
      </w:r>
    </w:p>
    <w:p w14:paraId="284CC8A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贵州高速公路集团有限公司兴义营运管理中心</w:t>
      </w:r>
    </w:p>
    <w:p w14:paraId="60F6D616">
      <w:pPr>
        <w:spacing w:line="348" w:lineRule="auto"/>
        <w:ind w:firstLine="480" w:firstLineChars="2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主要审查人员：</w:t>
      </w:r>
    </w:p>
    <w:p w14:paraId="30C85C65">
      <w:pPr>
        <w:spacing w:line="348" w:lineRule="auto"/>
        <w:ind w:left="2399" w:leftChars="228" w:hanging="1920" w:hangingChars="8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主要参编人员：</w:t>
      </w:r>
    </w:p>
    <w:p w14:paraId="78034082">
      <w:pPr>
        <w:widowControl/>
        <w:jc w:val="left"/>
        <w:rPr>
          <w:rFonts w:hint="default" w:ascii="Times New Roman" w:hAnsi="Times New Roman" w:cs="Times New Roman"/>
          <w:sz w:val="24"/>
        </w:rPr>
      </w:pPr>
    </w:p>
    <w:p w14:paraId="256CE594">
      <w:pPr>
        <w:rPr>
          <w:rFonts w:hint="default" w:ascii="Times New Roman" w:hAnsi="Times New Roman" w:cs="Times New Roman"/>
          <w:sz w:val="24"/>
        </w:rPr>
      </w:pPr>
    </w:p>
    <w:p w14:paraId="47623E91">
      <w:pPr>
        <w:rPr>
          <w:rFonts w:hint="default" w:ascii="Times New Roman" w:hAnsi="Times New Roman" w:cs="Times New Roman"/>
          <w:sz w:val="24"/>
        </w:rPr>
      </w:pPr>
    </w:p>
    <w:p w14:paraId="6C8E82C6">
      <w:pPr>
        <w:rPr>
          <w:rFonts w:hint="default" w:ascii="Times New Roman" w:hAnsi="Times New Roman" w:cs="Times New Roman"/>
          <w:sz w:val="24"/>
        </w:rPr>
      </w:pPr>
    </w:p>
    <w:p w14:paraId="3A77CC09">
      <w:pPr>
        <w:rPr>
          <w:rFonts w:hint="default" w:ascii="Times New Roman" w:hAnsi="Times New Roman" w:cs="Times New Roman"/>
          <w:sz w:val="24"/>
        </w:rPr>
      </w:pPr>
    </w:p>
    <w:p w14:paraId="152C7CBD">
      <w:pPr>
        <w:rPr>
          <w:rFonts w:hint="default" w:ascii="Times New Roman" w:hAnsi="Times New Roman" w:cs="Times New Roman"/>
          <w:sz w:val="24"/>
        </w:rPr>
      </w:pPr>
    </w:p>
    <w:p w14:paraId="034E87D4">
      <w:pPr>
        <w:tabs>
          <w:tab w:val="center" w:pos="4153"/>
        </w:tabs>
        <w:rPr>
          <w:rFonts w:hint="default" w:ascii="Times New Roman" w:hAnsi="Times New Roman" w:cs="Times New Roman"/>
          <w:sz w:val="24"/>
        </w:rPr>
        <w:sectPr>
          <w:pgSz w:w="11906" w:h="16838"/>
          <w:pgMar w:top="1440" w:right="1800" w:bottom="1440" w:left="1800" w:header="850" w:footer="992" w:gutter="0"/>
          <w:pgNumType w:start="1"/>
          <w:cols w:space="425" w:num="1"/>
          <w:docGrid w:type="lines" w:linePitch="312" w:charSpace="0"/>
        </w:sectPr>
      </w:pPr>
      <w:r>
        <w:rPr>
          <w:rFonts w:hint="default" w:ascii="Times New Roman" w:hAnsi="Times New Roman" w:cs="Times New Roman"/>
          <w:sz w:val="24"/>
        </w:rPr>
        <w:tab/>
      </w:r>
    </w:p>
    <w:sdt>
      <w:sdtPr>
        <w:rPr>
          <w:rFonts w:hint="default" w:ascii="Times New Roman" w:hAnsi="Times New Roman" w:eastAsia="宋体" w:cs="Times New Roman"/>
          <w:color w:val="auto"/>
          <w:kern w:val="2"/>
          <w:sz w:val="21"/>
          <w:szCs w:val="24"/>
          <w:lang w:val="zh-CN"/>
        </w:rPr>
        <w:id w:val="721032219"/>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14:paraId="0C6BB26D">
          <w:pPr>
            <w:pStyle w:val="195"/>
            <w:spacing w:before="156" w:after="156"/>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lang w:val="zh-CN"/>
            </w:rPr>
            <w:t>目 录</w:t>
          </w:r>
        </w:p>
        <w:p w14:paraId="3C003D3E">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TOC \o "1-3" \h \z \u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Cs w:val="24"/>
            </w:rPr>
            <w:fldChar w:fldCharType="begin"/>
          </w:r>
          <w:r>
            <w:rPr>
              <w:rFonts w:hint="default" w:ascii="Times New Roman" w:hAnsi="Times New Roman" w:cs="Times New Roman" w:eastAsiaTheme="minorEastAsia"/>
              <w:szCs w:val="24"/>
            </w:rPr>
            <w:instrText xml:space="preserve"> HYPERLINK \l _Toc16865 </w:instrText>
          </w:r>
          <w:r>
            <w:rPr>
              <w:rFonts w:hint="default" w:ascii="Times New Roman" w:hAnsi="Times New Roman" w:cs="Times New Roman" w:eastAsiaTheme="minorEastAsia"/>
              <w:szCs w:val="24"/>
            </w:rPr>
            <w:fldChar w:fldCharType="separate"/>
          </w:r>
          <w:r>
            <w:rPr>
              <w:rFonts w:hint="default" w:ascii="Times New Roman" w:hAnsi="Times New Roman" w:cs="Times New Roman" w:eastAsiaTheme="minorEastAsia"/>
              <w:bCs w:val="0"/>
              <w:i w:val="0"/>
              <w:szCs w:val="32"/>
            </w:rPr>
            <w:t xml:space="preserve">1 </w:t>
          </w:r>
          <w:r>
            <w:rPr>
              <w:rFonts w:hint="default" w:ascii="Times New Roman" w:hAnsi="Times New Roman" w:cs="Times New Roman" w:eastAsiaTheme="minorEastAsia"/>
              <w:bCs/>
              <w:szCs w:val="22"/>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_Toc16865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eastAsiaTheme="minorEastAsia"/>
              <w:szCs w:val="24"/>
            </w:rPr>
            <w:fldChar w:fldCharType="end"/>
          </w:r>
        </w:p>
        <w:p w14:paraId="43F9E941">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_Toc5043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2 </w:t>
          </w:r>
          <w:r>
            <w:rPr>
              <w:rFonts w:hint="default" w:ascii="Times New Roman" w:hAnsi="Times New Roman" w:cs="Times New Roman" w:eastAsiaTheme="minorEastAsia"/>
              <w:bCs/>
              <w:szCs w:val="22"/>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_Toc5043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831C665">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_Toc154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3 </w:t>
          </w:r>
          <w:r>
            <w:rPr>
              <w:rFonts w:hint="default" w:ascii="Times New Roman" w:hAnsi="Times New Roman" w:cs="Times New Roman" w:eastAsiaTheme="minorEastAsia"/>
              <w:bCs/>
              <w:szCs w:val="22"/>
            </w:rPr>
            <w:t>术语与符号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E39D92C">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_Toc6723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3.1 </w:t>
          </w:r>
          <w:r>
            <w:rPr>
              <w:rFonts w:hint="default" w:ascii="Times New Roman" w:hAnsi="Times New Roman" w:cs="Times New Roman"/>
            </w:rPr>
            <w:t>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_Toc6723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E023AAC">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_Toc21981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3.2 </w:t>
          </w:r>
          <w:r>
            <w:rPr>
              <w:rFonts w:hint="default" w:ascii="Times New Roman" w:hAnsi="Times New Roman" w:cs="Times New Roman"/>
            </w:rPr>
            <w:t>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_Toc21981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5A497B8">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_Toc19523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4 </w:t>
          </w:r>
          <w:r>
            <w:rPr>
              <w:rFonts w:hint="default" w:ascii="Times New Roman" w:hAnsi="Times New Roman" w:cs="Times New Roman" w:eastAsiaTheme="minorEastAsia"/>
              <w:bCs/>
              <w:szCs w:val="22"/>
            </w:rPr>
            <w:t>基本规定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_Toc19523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0E5F6E4">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_Toc25763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4.1 </w:t>
          </w:r>
          <w:r>
            <w:rPr>
              <w:rFonts w:hint="default" w:ascii="Times New Roman" w:hAnsi="Times New Roman" w:cs="Times New Roma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_Toc25763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67CE50F">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_Toc824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4.2 </w:t>
          </w:r>
          <w:r>
            <w:rPr>
              <w:rFonts w:hint="default" w:ascii="Times New Roman" w:hAnsi="Times New Roman" w:cs="Times New Roman"/>
            </w:rPr>
            <w:t>原路面技术状况要求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F46DE59">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_Toc8459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4.3 </w:t>
          </w:r>
          <w:r>
            <w:rPr>
              <w:rFonts w:hint="default" w:ascii="Times New Roman" w:hAnsi="Times New Roman" w:cs="Times New Roman"/>
            </w:rPr>
            <w:t>原路面处置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_Toc8459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38EBCEAE">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_Toc2251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4.4 </w:t>
          </w:r>
          <w:r>
            <w:rPr>
              <w:rFonts w:hint="default" w:ascii="Times New Roman" w:hAnsi="Times New Roman" w:cs="Times New Roman"/>
            </w:rPr>
            <w:t>厚度设计与材料选择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30141A5">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_Toc17427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5 </w:t>
          </w:r>
          <w:r>
            <w:rPr>
              <w:rFonts w:hint="default" w:ascii="Times New Roman" w:hAnsi="Times New Roman" w:cs="Times New Roman" w:eastAsiaTheme="minorEastAsia"/>
              <w:bCs/>
              <w:szCs w:val="22"/>
            </w:rPr>
            <w:t>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_Toc17427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3D4CE18">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_Toc22547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5.1 </w:t>
          </w:r>
          <w:r>
            <w:rPr>
              <w:rFonts w:hint="default" w:ascii="Times New Roman" w:hAnsi="Times New Roman" w:cs="Times New Roma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_Toc22547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E8BB120">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_Toc12863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5.2 </w:t>
          </w:r>
          <w:r>
            <w:rPr>
              <w:rFonts w:hint="default" w:ascii="Times New Roman" w:hAnsi="Times New Roman" w:cs="Times New Roman"/>
            </w:rPr>
            <w:t>高延弹改性沥青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_Toc12863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568DBAC">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_Toc27169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5.3 </w:t>
          </w:r>
          <w:r>
            <w:rPr>
              <w:rFonts w:hint="default" w:ascii="Times New Roman" w:hAnsi="Times New Roman" w:cs="Times New Roman"/>
            </w:rPr>
            <w:t>高黏度改性乳化沥青黏层材料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_Toc27169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9B16D6D">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_Toc5237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5.4 </w:t>
          </w:r>
          <w:r>
            <w:rPr>
              <w:rFonts w:hint="default" w:ascii="Times New Roman" w:hAnsi="Times New Roman" w:cs="Times New Roman"/>
            </w:rPr>
            <w:t>集料及填料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_Toc5237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04359EE">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_Toc28671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5.5 </w:t>
          </w:r>
          <w:r>
            <w:rPr>
              <w:rFonts w:hint="default" w:ascii="Times New Roman" w:hAnsi="Times New Roman" w:cs="Times New Roman"/>
            </w:rPr>
            <w:t>灌缝胶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_Toc28671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8974E80">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_Toc11642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6 </w:t>
          </w:r>
          <w:r>
            <w:rPr>
              <w:rFonts w:hint="default" w:ascii="Times New Roman" w:hAnsi="Times New Roman" w:cs="Times New Roman" w:eastAsiaTheme="minorEastAsia"/>
              <w:bCs/>
              <w:szCs w:val="22"/>
            </w:rPr>
            <w:t>高延弹沥青混合料配合比设计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_Toc11642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A6AB328">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_Toc31549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6.1 </w:t>
          </w:r>
          <w:r>
            <w:rPr>
              <w:rFonts w:hint="default" w:ascii="Times New Roman" w:hAnsi="Times New Roman" w:cs="Times New Roma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_Toc31549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5CB6F40">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_Toc881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6.2 </w:t>
          </w:r>
          <w:r>
            <w:rPr>
              <w:rFonts w:hint="default" w:ascii="Times New Roman" w:hAnsi="Times New Roman" w:cs="Times New Roman"/>
            </w:rPr>
            <w:t>混合料技术指标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65C017C">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_Toc31755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7 </w:t>
          </w:r>
          <w:r>
            <w:rPr>
              <w:rFonts w:hint="default" w:ascii="Times New Roman" w:hAnsi="Times New Roman" w:cs="Times New Roman" w:eastAsiaTheme="minorEastAsia"/>
              <w:bCs/>
              <w:szCs w:val="22"/>
            </w:rPr>
            <w:t>施工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_Toc31755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9BCE266">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_Toc28042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7.1 </w:t>
          </w:r>
          <w:r>
            <w:rPr>
              <w:rFonts w:hint="default" w:ascii="Times New Roman" w:hAnsi="Times New Roman" w:cs="Times New Roma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_Toc28042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49081EB">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_Toc6748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7.2 </w:t>
          </w:r>
          <w:r>
            <w:rPr>
              <w:rFonts w:hint="default" w:ascii="Times New Roman" w:hAnsi="Times New Roman" w:cs="Times New Roman"/>
            </w:rPr>
            <w:t>混合料拌和与运输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_Toc6748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76CEF271">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_Toc5737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7.3 </w:t>
          </w:r>
          <w:r>
            <w:rPr>
              <w:rFonts w:hint="default" w:ascii="Times New Roman" w:hAnsi="Times New Roman" w:cs="Times New Roman"/>
            </w:rPr>
            <w:t>黏层材料喷洒与摊铺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_Toc5737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D8184B9">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_Toc18279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7.4 </w:t>
          </w:r>
          <w:r>
            <w:rPr>
              <w:rFonts w:hint="default" w:ascii="Times New Roman" w:hAnsi="Times New Roman" w:cs="Times New Roman"/>
            </w:rPr>
            <w:t>碾压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_Toc18279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0EC048BB">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_Toc32492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7.5 </w:t>
          </w:r>
          <w:r>
            <w:rPr>
              <w:rFonts w:hint="default" w:ascii="Times New Roman" w:hAnsi="Times New Roman" w:cs="Times New Roman"/>
            </w:rPr>
            <w:t>接缝</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_Toc32492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2007E6A1">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_Toc2834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7.6 </w:t>
          </w:r>
          <w:r>
            <w:rPr>
              <w:rFonts w:hint="default" w:ascii="Times New Roman" w:hAnsi="Times New Roman" w:cs="Times New Roman"/>
            </w:rPr>
            <w:t>养护与开放交通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_Toc2834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56E2399E">
          <w:pPr>
            <w:pStyle w:val="2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_Toc22517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eastAsiaTheme="minorEastAsia"/>
              <w:bCs w:val="0"/>
              <w:i w:val="0"/>
              <w:szCs w:val="32"/>
            </w:rPr>
            <w:t xml:space="preserve">8 </w:t>
          </w:r>
          <w:r>
            <w:rPr>
              <w:rFonts w:hint="default" w:ascii="Times New Roman" w:hAnsi="Times New Roman" w:cs="Times New Roman" w:eastAsiaTheme="minorEastAsia"/>
              <w:bCs/>
              <w:szCs w:val="22"/>
            </w:rPr>
            <w:t>施工质量控制与检查验收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_Toc22517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746BF16">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_Toc16636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8.1 </w:t>
          </w:r>
          <w:r>
            <w:rPr>
              <w:rFonts w:hint="default" w:ascii="Times New Roman" w:hAnsi="Times New Roman" w:cs="Times New Roman"/>
            </w:rPr>
            <w:t>原材料质量控制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_Toc16636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6D83C759">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_Toc27587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8.2 </w:t>
          </w:r>
          <w:r>
            <w:rPr>
              <w:rFonts w:hint="default" w:ascii="Times New Roman" w:hAnsi="Times New Roman" w:cs="Times New Roman"/>
            </w:rPr>
            <w:t>施工过程中质量控制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_Toc27587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4722FDE6">
          <w:pPr>
            <w:pStyle w:val="35"/>
            <w:tabs>
              <w:tab w:val="right" w:leader="dot" w:pos="8306"/>
              <w:tab w:val="clear" w:pos="9242"/>
            </w:tabs>
            <w:rPr>
              <w:rFonts w:hint="default" w:ascii="Times New Roman" w:hAnsi="Times New Roman" w:cs="Times New Roman"/>
            </w:rPr>
          </w:pPr>
          <w:r>
            <w:rPr>
              <w:rFonts w:hint="default" w:ascii="Times New Roman" w:hAnsi="Times New Roman" w:cs="Times New Roman" w:eastAsiaTheme="minorEastAsia"/>
              <w:lang w:val="zh-CN"/>
            </w:rPr>
            <w:fldChar w:fldCharType="begin"/>
          </w:r>
          <w:r>
            <w:rPr>
              <w:rFonts w:hint="default" w:ascii="Times New Roman" w:hAnsi="Times New Roman" w:cs="Times New Roman" w:eastAsiaTheme="minorEastAsia"/>
              <w:lang w:val="zh-CN"/>
            </w:rPr>
            <w:instrText xml:space="preserve"> HYPERLINK \l _Toc31491 </w:instrText>
          </w:r>
          <w:r>
            <w:rPr>
              <w:rFonts w:hint="default" w:ascii="Times New Roman" w:hAnsi="Times New Roman" w:cs="Times New Roman" w:eastAsiaTheme="minorEastAsia"/>
              <w:lang w:val="zh-CN"/>
            </w:rPr>
            <w:fldChar w:fldCharType="separate"/>
          </w:r>
          <w:r>
            <w:rPr>
              <w:rFonts w:hint="default" w:ascii="Times New Roman" w:hAnsi="Times New Roman" w:cs="Times New Roman"/>
              <w:bCs/>
              <w:i w:val="0"/>
              <w:iCs w:val="0"/>
              <w:caps w:val="0"/>
              <w:strike w:val="0"/>
              <w:dstrike w:val="0"/>
              <w:vanish w:val="0"/>
              <w:spacing w:val="0"/>
              <w:kern w:val="0"/>
              <w:position w:val="0"/>
              <w:szCs w:val="24"/>
              <w:vertAlign w:val="baseline"/>
              <w14:shadow w14:blurRad="0" w14:dist="0" w14:dir="0" w14:sx="0" w14:sy="0" w14:kx="0" w14:ky="0" w14:algn="none">
                <w14:srgbClr w14:val="000000"/>
              </w14:shadow>
            </w:rPr>
            <w:t xml:space="preserve">8.3 </w:t>
          </w:r>
          <w:r>
            <w:rPr>
              <w:rFonts w:hint="default" w:ascii="Times New Roman" w:hAnsi="Times New Roman" w:cs="Times New Roman"/>
            </w:rPr>
            <w:t>工程验收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_Toc31491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eastAsiaTheme="minorEastAsia"/>
              <w:lang w:val="zh-CN"/>
            </w:rPr>
            <w:fldChar w:fldCharType="end"/>
          </w:r>
        </w:p>
        <w:p w14:paraId="1AA8B4A6">
          <w:pPr>
            <w:tabs>
              <w:tab w:val="left" w:pos="426"/>
              <w:tab w:val="left" w:pos="567"/>
            </w:tabs>
            <w:rPr>
              <w:rFonts w:hint="default" w:ascii="Times New Roman" w:hAnsi="Times New Roman" w:cs="Times New Roman"/>
            </w:rPr>
          </w:pPr>
          <w:r>
            <w:rPr>
              <w:rFonts w:hint="default" w:ascii="Times New Roman" w:hAnsi="Times New Roman" w:cs="Times New Roman" w:eastAsiaTheme="minorEastAsia"/>
              <w:lang w:val="zh-CN"/>
            </w:rPr>
            <w:fldChar w:fldCharType="end"/>
          </w:r>
        </w:p>
      </w:sdtContent>
    </w:sdt>
    <w:p w14:paraId="0661E6EA">
      <w:pPr>
        <w:pStyle w:val="29"/>
        <w:tabs>
          <w:tab w:val="center" w:pos="0"/>
          <w:tab w:val="clear" w:pos="4201"/>
          <w:tab w:val="clear" w:pos="9298"/>
        </w:tabs>
        <w:spacing w:line="360" w:lineRule="auto"/>
        <w:ind w:firstLine="0" w:firstLineChars="0"/>
        <w:rPr>
          <w:rFonts w:hint="default" w:ascii="Times New Roman" w:hAnsi="Times New Roman" w:cs="Times New Roman"/>
          <w:sz w:val="24"/>
          <w:szCs w:val="21"/>
        </w:rPr>
      </w:pPr>
    </w:p>
    <w:p w14:paraId="62BC2278">
      <w:pPr>
        <w:tabs>
          <w:tab w:val="left" w:pos="666"/>
        </w:tabs>
        <w:rPr>
          <w:rFonts w:hint="default" w:ascii="Times New Roman" w:hAnsi="Times New Roman" w:cs="Times New Roman"/>
        </w:rPr>
        <w:sectPr>
          <w:footerReference r:id="rId3" w:type="default"/>
          <w:pgSz w:w="11906" w:h="16838"/>
          <w:pgMar w:top="1440" w:right="1800" w:bottom="1440" w:left="1800" w:header="1418" w:footer="1134" w:gutter="0"/>
          <w:pgNumType w:start="0"/>
          <w:cols w:space="425" w:num="1"/>
          <w:formProt w:val="0"/>
          <w:titlePg/>
          <w:docGrid w:type="lines" w:linePitch="312" w:charSpace="0"/>
        </w:sectPr>
      </w:pPr>
      <w:r>
        <w:rPr>
          <w:rFonts w:hint="default" w:ascii="Times New Roman" w:hAnsi="Times New Roman" w:cs="Times New Roman"/>
        </w:rPr>
        <w:tab/>
      </w:r>
    </w:p>
    <w:p w14:paraId="520763C3">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0" w:name="_Toc179636646"/>
      <w:bookmarkStart w:id="1" w:name="_Toc16865"/>
      <w:r>
        <w:rPr>
          <w:rFonts w:hint="default" w:ascii="Times New Roman" w:hAnsi="Times New Roman" w:cs="Times New Roman" w:eastAsiaTheme="minorEastAsia"/>
          <w:b/>
          <w:bCs/>
          <w:sz w:val="32"/>
          <w:szCs w:val="22"/>
        </w:rPr>
        <w:t>总则</w:t>
      </w:r>
      <w:bookmarkEnd w:id="0"/>
      <w:bookmarkEnd w:id="1"/>
      <w:bookmarkStart w:id="2" w:name="_Toc447282095"/>
    </w:p>
    <w:p w14:paraId="22CB2890">
      <w:pPr>
        <w:pStyle w:val="49"/>
        <w:numPr>
          <w:ilvl w:val="2"/>
          <w:numId w:val="18"/>
        </w:numPr>
        <w:tabs>
          <w:tab w:val="left" w:pos="1134"/>
        </w:tabs>
        <w:spacing w:beforeLines="0" w:afterLines="0" w:line="360" w:lineRule="auto"/>
        <w:ind w:left="0" w:firstLine="426"/>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为指导贵州公路超薄罩面的设计、施工、验收，保证工程质量，制定本指南。</w:t>
      </w:r>
    </w:p>
    <w:p w14:paraId="0FD4D401">
      <w:pPr>
        <w:pStyle w:val="49"/>
        <w:numPr>
          <w:ilvl w:val="2"/>
          <w:numId w:val="18"/>
        </w:numPr>
        <w:tabs>
          <w:tab w:val="left" w:pos="1134"/>
        </w:tabs>
        <w:spacing w:beforeLines="0" w:afterLines="0" w:line="360" w:lineRule="auto"/>
        <w:ind w:left="0" w:firstLine="426"/>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本指南适用于各等级公路沥青路面、水泥混凝土路面养护工程。</w:t>
      </w:r>
    </w:p>
    <w:p w14:paraId="23981DDA">
      <w:pPr>
        <w:pStyle w:val="49"/>
        <w:numPr>
          <w:ilvl w:val="2"/>
          <w:numId w:val="18"/>
        </w:numPr>
        <w:tabs>
          <w:tab w:val="left" w:pos="1134"/>
        </w:tabs>
        <w:spacing w:beforeLines="0" w:afterLines="0" w:line="360" w:lineRule="auto"/>
        <w:ind w:left="0" w:firstLine="426"/>
        <w:jc w:val="both"/>
        <w:outlineLvl w:val="9"/>
        <w:rPr>
          <w:rFonts w:hint="default" w:ascii="Times New Roman" w:hAnsi="Times New Roman" w:eastAsia="宋体" w:cs="Times New Roman"/>
          <w:sz w:val="24"/>
        </w:rPr>
      </w:pPr>
      <w:r>
        <w:rPr>
          <w:rFonts w:hint="default" w:ascii="Times New Roman" w:hAnsi="Times New Roman" w:eastAsia="宋体" w:cs="Times New Roman"/>
          <w:sz w:val="24"/>
        </w:rPr>
        <w:t>等外公路及城镇道路路面养护工程可参照执行。</w:t>
      </w:r>
      <w:r>
        <w:rPr>
          <w:rFonts w:hint="default" w:ascii="Times New Roman" w:hAnsi="Times New Roman" w:eastAsia="宋体" w:cs="Times New Roman"/>
          <w:sz w:val="24"/>
        </w:rPr>
        <w:tab/>
      </w:r>
    </w:p>
    <w:p w14:paraId="51BC478A">
      <w:pPr>
        <w:widowControl/>
        <w:jc w:val="left"/>
        <w:rPr>
          <w:rFonts w:hint="default" w:ascii="Times New Roman" w:hAnsi="Times New Roman" w:cs="Times New Roman"/>
          <w:sz w:val="24"/>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rPr>
        <w:br w:type="page"/>
      </w:r>
    </w:p>
    <w:bookmarkEnd w:id="2"/>
    <w:p w14:paraId="2F4A8526">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3" w:name="_Toc5043"/>
      <w:bookmarkStart w:id="4" w:name="_Toc126742831"/>
      <w:bookmarkStart w:id="5" w:name="_Toc179636650"/>
      <w:r>
        <w:rPr>
          <w:rFonts w:hint="default" w:ascii="Times New Roman" w:hAnsi="Times New Roman" w:cs="Times New Roman" w:eastAsiaTheme="minorEastAsia"/>
          <w:b/>
          <w:bCs/>
          <w:sz w:val="32"/>
          <w:szCs w:val="22"/>
        </w:rPr>
        <w:t>规范性引用文件</w:t>
      </w:r>
      <w:bookmarkEnd w:id="3"/>
      <w:bookmarkEnd w:id="4"/>
      <w:bookmarkEnd w:id="5"/>
    </w:p>
    <w:p w14:paraId="58E2DEBE">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下列文件对于本指南的应用是必不可少的。凡是注日期的引用文件，仅注日期的版本适用于本指南。凡是不注日期的引用文件，其最新版本（包括所有的修改单）适用于本指南。</w:t>
      </w:r>
    </w:p>
    <w:p w14:paraId="110862BD">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D50公路沥青路面设计规范</w:t>
      </w:r>
    </w:p>
    <w:p w14:paraId="2B97116D">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E20公路工程沥青及沥青混合料试验规程</w:t>
      </w:r>
    </w:p>
    <w:p w14:paraId="09C0B724">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3432公路工程集料试验规程</w:t>
      </w:r>
    </w:p>
    <w:p w14:paraId="1BDA1BCA">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F40公路沥青路面施工技术规范</w:t>
      </w:r>
    </w:p>
    <w:p w14:paraId="1968E289">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 xml:space="preserve">JTG F80/1公路工程质量检验评定标准 </w:t>
      </w:r>
    </w:p>
    <w:p w14:paraId="2318E690">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5110公路养护技术标准</w:t>
      </w:r>
    </w:p>
    <w:p w14:paraId="67C7668D">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5142公路沥青路面养护技术规范</w:t>
      </w:r>
    </w:p>
    <w:p w14:paraId="67B625AF">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JTG 5210公路技术状况评定标准</w:t>
      </w:r>
    </w:p>
    <w:p w14:paraId="6DFDCDBF">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JTT 740路面加热型灌缝胶</w:t>
      </w:r>
    </w:p>
    <w:p w14:paraId="57F8115E">
      <w:pPr>
        <w:widowControl/>
        <w:jc w:val="left"/>
        <w:rPr>
          <w:rFonts w:hint="default" w:ascii="Times New Roman" w:hAnsi="Times New Roman" w:cs="Times New Roman"/>
          <w:sz w:val="24"/>
        </w:rPr>
        <w:sectPr>
          <w:headerReference r:id="rId6" w:type="even"/>
          <w:type w:val="continuous"/>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rPr>
        <w:br w:type="page"/>
      </w:r>
    </w:p>
    <w:p w14:paraId="5BC793A0">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6" w:name="_Toc126742832"/>
      <w:bookmarkStart w:id="7" w:name="_Toc179636647"/>
      <w:bookmarkStart w:id="8" w:name="_Toc154"/>
      <w:bookmarkStart w:id="9" w:name="_Toc179636651"/>
      <w:r>
        <w:rPr>
          <w:rFonts w:hint="default" w:ascii="Times New Roman" w:hAnsi="Times New Roman" w:cs="Times New Roman" w:eastAsiaTheme="minorEastAsia"/>
          <w:b/>
          <w:bCs/>
          <w:sz w:val="32"/>
          <w:szCs w:val="22"/>
        </w:rPr>
        <w:t>术语与符号</w:t>
      </w:r>
      <w:bookmarkEnd w:id="6"/>
      <w:bookmarkEnd w:id="7"/>
      <w:bookmarkEnd w:id="8"/>
    </w:p>
    <w:p w14:paraId="12774468">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10" w:name="_Toc6723"/>
      <w:bookmarkStart w:id="11" w:name="_Toc179636648"/>
      <w:bookmarkStart w:id="12" w:name="_Toc126742833"/>
      <w:r>
        <w:rPr>
          <w:rFonts w:hint="default" w:ascii="Times New Roman" w:hAnsi="Times New Roman" w:cs="Times New Roman"/>
          <w:sz w:val="24"/>
        </w:rPr>
        <w:t>术语</w:t>
      </w:r>
      <w:bookmarkEnd w:id="10"/>
      <w:bookmarkEnd w:id="11"/>
      <w:bookmarkEnd w:id="12"/>
      <w:r>
        <w:rPr>
          <w:rFonts w:hint="default" w:ascii="Times New Roman" w:hAnsi="Times New Roman" w:cs="Times New Roman"/>
          <w:sz w:val="24"/>
        </w:rPr>
        <w:t xml:space="preserve"> </w:t>
      </w:r>
    </w:p>
    <w:p w14:paraId="3D11CE69">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高延弹改性剂 highly-ductility Additive</w:t>
      </w:r>
    </w:p>
    <w:p w14:paraId="11DE1C51">
      <w:pPr>
        <w:pStyle w:val="29"/>
        <w:tabs>
          <w:tab w:val="center" w:pos="1134"/>
        </w:tabs>
        <w:spacing w:line="360" w:lineRule="auto"/>
        <w:ind w:firstLineChars="0"/>
        <w:rPr>
          <w:rFonts w:hint="default" w:ascii="Times New Roman" w:hAnsi="Times New Roman" w:cs="Times New Roman"/>
          <w:sz w:val="24"/>
        </w:rPr>
      </w:pPr>
      <w:r>
        <w:rPr>
          <w:rFonts w:hint="default" w:ascii="Times New Roman" w:hAnsi="Times New Roman" w:cs="Times New Roman"/>
          <w:sz w:val="24"/>
        </w:rPr>
        <w:t>以高分子聚合物为主要成分、以增强沥青动力粘度与弹性恢复为目的的改性材料。</w:t>
      </w:r>
    </w:p>
    <w:p w14:paraId="0488171C">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高延弹改性沥青  high-ductility modified asphalt</w:t>
      </w:r>
    </w:p>
    <w:p w14:paraId="73EB5207">
      <w:pPr>
        <w:pStyle w:val="29"/>
        <w:spacing w:line="360" w:lineRule="auto"/>
        <w:ind w:firstLineChars="0"/>
        <w:rPr>
          <w:rFonts w:hint="default" w:ascii="Times New Roman" w:hAnsi="Times New Roman" w:cs="Times New Roman"/>
          <w:sz w:val="24"/>
        </w:rPr>
      </w:pPr>
      <w:r>
        <w:rPr>
          <w:rFonts w:hint="default" w:ascii="Times New Roman" w:hAnsi="Times New Roman" w:cs="Times New Roman"/>
          <w:sz w:val="24"/>
        </w:rPr>
        <w:t>向普通改性沥青中添加一定量的高延弹改性剂制备的，具有60℃动力黏度不小于200000 Pa·s，25℃弹性恢复不小于98%等技术指标要求的改性沥青。</w:t>
      </w:r>
    </w:p>
    <w:p w14:paraId="25B6D3FA">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高延弹超薄罩面 high-ductility ultra-thin overlay</w:t>
      </w:r>
    </w:p>
    <w:p w14:paraId="71EED3FE">
      <w:pPr>
        <w:pStyle w:val="29"/>
        <w:spacing w:line="360" w:lineRule="auto"/>
        <w:ind w:firstLine="480"/>
        <w:rPr>
          <w:rFonts w:hint="default" w:ascii="Times New Roman" w:hAnsi="Times New Roman" w:cs="Times New Roman"/>
          <w:sz w:val="24"/>
        </w:rPr>
      </w:pPr>
      <w:bookmarkStart w:id="13" w:name="_Hlk92640402"/>
      <w:r>
        <w:rPr>
          <w:rFonts w:hint="default" w:ascii="Times New Roman" w:hAnsi="Times New Roman" w:cs="Times New Roman"/>
          <w:sz w:val="24"/>
        </w:rPr>
        <w:t>采用同步高黏度改性乳化沥青黏层材料，并采</w:t>
      </w:r>
      <w:bookmarkEnd w:id="13"/>
      <w:r>
        <w:rPr>
          <w:rFonts w:hint="default" w:ascii="Times New Roman" w:hAnsi="Times New Roman" w:cs="Times New Roman"/>
          <w:sz w:val="24"/>
        </w:rPr>
        <w:t>用具有高粘、高弹特点的高延弹改性沥青混合料，铺筑出的厚度为1.2cm-2.5cm的超薄沥青罩面。</w:t>
      </w:r>
    </w:p>
    <w:p w14:paraId="72479D9F">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空隙型高延弹超薄罩面 porous high-ductility ultra-thin overlay</w:t>
      </w:r>
    </w:p>
    <w:p w14:paraId="4076E1C2">
      <w:pPr>
        <w:pStyle w:val="29"/>
        <w:spacing w:line="360" w:lineRule="auto"/>
        <w:ind w:firstLine="424" w:firstLineChars="177"/>
        <w:rPr>
          <w:rFonts w:hint="default" w:ascii="Times New Roman" w:hAnsi="Times New Roman" w:cs="Times New Roman"/>
          <w:sz w:val="24"/>
        </w:rPr>
      </w:pPr>
      <w:r>
        <w:rPr>
          <w:rFonts w:hint="default" w:ascii="Times New Roman" w:hAnsi="Times New Roman" w:cs="Times New Roman"/>
          <w:sz w:val="24"/>
        </w:rPr>
        <w:t>空隙率大于10%，且具有排水、抗滑、降噪等特点的高延弹超薄罩面。</w:t>
      </w:r>
    </w:p>
    <w:p w14:paraId="2BBFB934">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14" w:name="_Toc21981"/>
      <w:bookmarkStart w:id="15" w:name="_Toc179636649"/>
      <w:bookmarkStart w:id="16" w:name="_Toc126742834"/>
      <w:r>
        <w:rPr>
          <w:rFonts w:hint="default" w:ascii="Times New Roman" w:hAnsi="Times New Roman" w:cs="Times New Roman"/>
          <w:sz w:val="24"/>
        </w:rPr>
        <w:t>符号</w:t>
      </w:r>
      <w:bookmarkEnd w:id="14"/>
      <w:bookmarkEnd w:id="15"/>
      <w:bookmarkEnd w:id="16"/>
      <w:r>
        <w:rPr>
          <w:rFonts w:hint="default" w:ascii="Times New Roman" w:hAnsi="Times New Roman" w:cs="Times New Roman"/>
          <w:sz w:val="24"/>
        </w:rPr>
        <w:t xml:space="preserve"> </w:t>
      </w:r>
    </w:p>
    <w:p w14:paraId="7530BEAD">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PCI——路面损坏状况指数；</w:t>
      </w:r>
    </w:p>
    <w:p w14:paraId="6A0FFB4A">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RQI——路面行驶质量指数；</w:t>
      </w:r>
    </w:p>
    <w:p w14:paraId="02283D3F">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RDI——路面车辙深度指数；</w:t>
      </w:r>
    </w:p>
    <w:p w14:paraId="5CC25AEC">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DBL——水泥混凝土路面断板率；</w:t>
      </w:r>
    </w:p>
    <w:p w14:paraId="2727030E">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DTO——高延弹超薄罩面；</w:t>
      </w:r>
    </w:p>
    <w:p w14:paraId="1F434B43">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DTO-5——最大公称粒径为5mm的高延弹超薄沥青混合料；</w:t>
      </w:r>
    </w:p>
    <w:p w14:paraId="06B54C68">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DTO-10——最大公称粒径为10mm的高延弹超薄沥青混合料；</w:t>
      </w:r>
    </w:p>
    <w:p w14:paraId="1EACE91C">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RTFOT——旋转薄膜加热试验；</w:t>
      </w:r>
    </w:p>
    <w:p w14:paraId="6A779369">
      <w:pPr>
        <w:pStyle w:val="29"/>
        <w:spacing w:line="360" w:lineRule="auto"/>
        <w:ind w:firstLine="480"/>
        <w:rPr>
          <w:rFonts w:hint="default" w:ascii="Times New Roman" w:hAnsi="Times New Roman" w:cs="Times New Roman"/>
          <w:sz w:val="24"/>
        </w:rPr>
      </w:pPr>
      <w:r>
        <w:rPr>
          <w:rFonts w:hint="default" w:ascii="Times New Roman" w:hAnsi="Times New Roman" w:cs="Times New Roman"/>
          <w:sz w:val="24"/>
        </w:rPr>
        <w:t>IRI——国际平整度指数；</w:t>
      </w:r>
    </w:p>
    <w:p w14:paraId="6ED576DA">
      <w:pPr>
        <w:widowControl/>
        <w:jc w:val="left"/>
        <w:rPr>
          <w:rFonts w:hint="default" w:ascii="Times New Roman" w:hAnsi="Times New Roman" w:cs="Times New Roman"/>
          <w:sz w:val="24"/>
        </w:rPr>
        <w:sectPr>
          <w:headerReference r:id="rId7" w:type="even"/>
          <w:type w:val="continuous"/>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24"/>
        </w:rPr>
        <w:br w:type="page"/>
      </w:r>
    </w:p>
    <w:p w14:paraId="64F0F354">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17" w:name="_Toc19523"/>
      <w:r>
        <w:rPr>
          <w:rFonts w:hint="default" w:ascii="Times New Roman" w:hAnsi="Times New Roman" w:cs="Times New Roman" w:eastAsiaTheme="minorEastAsia"/>
          <w:b/>
          <w:bCs/>
          <w:sz w:val="32"/>
          <w:szCs w:val="22"/>
        </w:rPr>
        <w:t>基本规定</w:t>
      </w:r>
      <w:bookmarkEnd w:id="9"/>
      <w:bookmarkEnd w:id="17"/>
    </w:p>
    <w:p w14:paraId="73CBC4A1">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18" w:name="OLE_LINK2"/>
      <w:r>
        <w:rPr>
          <w:rFonts w:hint="default" w:ascii="Times New Roman" w:hAnsi="Times New Roman" w:cs="Times New Roman"/>
          <w:sz w:val="24"/>
        </w:rPr>
        <w:t xml:space="preserve"> </w:t>
      </w:r>
      <w:bookmarkStart w:id="19" w:name="_Toc179636652"/>
      <w:bookmarkStart w:id="20" w:name="_Toc25763"/>
      <w:r>
        <w:rPr>
          <w:rFonts w:hint="default" w:ascii="Times New Roman" w:hAnsi="Times New Roman" w:cs="Times New Roman"/>
          <w:sz w:val="24"/>
        </w:rPr>
        <w:t>一般规定</w:t>
      </w:r>
      <w:bookmarkEnd w:id="19"/>
      <w:bookmarkEnd w:id="20"/>
    </w:p>
    <w:p w14:paraId="112543CB">
      <w:pPr>
        <w:pStyle w:val="29"/>
        <w:numPr>
          <w:ilvl w:val="2"/>
          <w:numId w:val="19"/>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高延弹超薄罩面可用于沥青路面或水泥路面非结构性损坏的预防养护及路面功能修复，不应作为结构补强层。</w:t>
      </w:r>
    </w:p>
    <w:p w14:paraId="233A59E8">
      <w:pPr>
        <w:pStyle w:val="29"/>
        <w:numPr>
          <w:ilvl w:val="2"/>
          <w:numId w:val="19"/>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高延弹超薄罩面类型、厚度应结合使用要求、原路面状况、交通量、气候条件等因素进行选择。重载交通情况下，宜选用2cm-2.5cm厚的高延弹超薄罩面。</w:t>
      </w:r>
    </w:p>
    <w:p w14:paraId="4019D261">
      <w:pPr>
        <w:pStyle w:val="29"/>
        <w:numPr>
          <w:ilvl w:val="2"/>
          <w:numId w:val="19"/>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高延弹超薄罩面沥青混合料应采用高延弹改性沥青，黏层材料应采用高黏度改性乳化沥青。</w:t>
      </w:r>
    </w:p>
    <w:p w14:paraId="40D90BE8">
      <w:pPr>
        <w:pStyle w:val="29"/>
        <w:numPr>
          <w:ilvl w:val="2"/>
          <w:numId w:val="19"/>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基于贵州省自然条件和路面功能性要求，贵州省公路超薄罩面养护工程宜选用空隙型高延弹超薄罩面。</w:t>
      </w:r>
    </w:p>
    <w:p w14:paraId="24DB90AD">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21" w:name="_Toc179636653"/>
      <w:bookmarkStart w:id="22" w:name="_Toc824"/>
      <w:r>
        <w:rPr>
          <w:rFonts w:hint="default" w:ascii="Times New Roman" w:hAnsi="Times New Roman" w:cs="Times New Roman"/>
          <w:sz w:val="24"/>
        </w:rPr>
        <w:t>原路面技术状况要求</w:t>
      </w:r>
      <w:bookmarkEnd w:id="21"/>
      <w:bookmarkEnd w:id="22"/>
    </w:p>
    <w:p w14:paraId="06BC7A40">
      <w:pPr>
        <w:pStyle w:val="29"/>
        <w:numPr>
          <w:ilvl w:val="2"/>
          <w:numId w:val="17"/>
        </w:numPr>
        <w:tabs>
          <w:tab w:val="center" w:pos="993"/>
          <w:tab w:val="clear" w:pos="4201"/>
        </w:tabs>
        <w:spacing w:line="360" w:lineRule="auto"/>
        <w:ind w:left="993" w:firstLineChars="0"/>
        <w:rPr>
          <w:rFonts w:hint="default" w:ascii="Times New Roman" w:hAnsi="Times New Roman" w:cs="Times New Roman"/>
          <w:sz w:val="24"/>
        </w:rPr>
      </w:pPr>
      <w:r>
        <w:rPr>
          <w:rFonts w:hint="default" w:ascii="Times New Roman" w:hAnsi="Times New Roman" w:cs="Times New Roman"/>
          <w:sz w:val="24"/>
        </w:rPr>
        <w:t>高延弹超薄罩面在使用时应对原路面进行技术状况检查评定。</w:t>
      </w:r>
    </w:p>
    <w:p w14:paraId="5D665F00">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高延弹超薄罩面适用的各等级公路路面技术状况或处置后的路面宜符合表4.2.2的规定。</w:t>
      </w:r>
    </w:p>
    <w:p w14:paraId="3B575C2A">
      <w:pPr>
        <w:pStyle w:val="190"/>
        <w:ind w:left="360"/>
        <w:rPr>
          <w:rStyle w:val="180"/>
          <w:rFonts w:hint="default" w:ascii="Times New Roman" w:hAnsi="Times New Roman" w:eastAsia="黑体" w:cs="Times New Roman"/>
          <w:sz w:val="21"/>
          <w:szCs w:val="21"/>
        </w:rPr>
      </w:pPr>
      <w:r>
        <w:rPr>
          <w:rStyle w:val="180"/>
          <w:rFonts w:hint="default" w:ascii="Times New Roman" w:hAnsi="Times New Roman" w:eastAsia="黑体" w:cs="Times New Roman"/>
          <w:sz w:val="21"/>
          <w:szCs w:val="21"/>
        </w:rPr>
        <w:t>表4.2.2 高延弹超薄罩面适用的各等级公路路面路况水平</w:t>
      </w:r>
    </w:p>
    <w:tbl>
      <w:tblPr>
        <w:tblStyle w:val="189"/>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67"/>
        <w:gridCol w:w="1667"/>
        <w:gridCol w:w="1507"/>
        <w:gridCol w:w="1713"/>
        <w:gridCol w:w="1780"/>
      </w:tblGrid>
      <w:tr w14:paraId="2EC20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000" w:type="pct"/>
          </w:tcPr>
          <w:p w14:paraId="217796F2">
            <w:pPr>
              <w:pStyle w:val="192"/>
              <w:rPr>
                <w:rFonts w:hint="default" w:ascii="Times New Roman" w:hAnsi="Times New Roman" w:cs="Times New Roman"/>
                <w:spacing w:val="-2"/>
                <w:sz w:val="24"/>
              </w:rPr>
            </w:pPr>
            <w:r>
              <w:rPr>
                <w:rFonts w:hint="default" w:ascii="Times New Roman" w:hAnsi="Times New Roman" w:cs="Times New Roman"/>
                <w:spacing w:val="-2"/>
                <w:sz w:val="24"/>
              </w:rPr>
              <w:t>原路面类型</w:t>
            </w:r>
          </w:p>
        </w:tc>
        <w:tc>
          <w:tcPr>
            <w:tcW w:w="1000" w:type="pct"/>
          </w:tcPr>
          <w:p w14:paraId="03E673AC">
            <w:pPr>
              <w:pStyle w:val="192"/>
              <w:rPr>
                <w:rFonts w:hint="default" w:ascii="Times New Roman" w:hAnsi="Times New Roman" w:cs="Times New Roman"/>
                <w:spacing w:val="-2"/>
                <w:sz w:val="24"/>
              </w:rPr>
            </w:pPr>
            <w:r>
              <w:rPr>
                <w:rFonts w:hint="default" w:ascii="Times New Roman" w:hAnsi="Times New Roman" w:cs="Times New Roman"/>
                <w:spacing w:val="-2"/>
                <w:sz w:val="24"/>
              </w:rPr>
              <w:t>路况指数</w:t>
            </w:r>
          </w:p>
        </w:tc>
        <w:tc>
          <w:tcPr>
            <w:tcW w:w="904" w:type="pct"/>
          </w:tcPr>
          <w:p w14:paraId="3AF031FA">
            <w:pPr>
              <w:pStyle w:val="192"/>
              <w:rPr>
                <w:rFonts w:hint="default" w:ascii="Times New Roman" w:hAnsi="Times New Roman" w:cs="Times New Roman"/>
                <w:spacing w:val="-2"/>
                <w:sz w:val="24"/>
              </w:rPr>
            </w:pPr>
            <w:r>
              <w:rPr>
                <w:rFonts w:hint="default" w:ascii="Times New Roman" w:hAnsi="Times New Roman" w:cs="Times New Roman"/>
                <w:spacing w:val="-2"/>
                <w:sz w:val="24"/>
              </w:rPr>
              <w:t>高速公路</w:t>
            </w:r>
          </w:p>
        </w:tc>
        <w:tc>
          <w:tcPr>
            <w:tcW w:w="1028" w:type="pct"/>
          </w:tcPr>
          <w:p w14:paraId="2BBA08E8">
            <w:pPr>
              <w:pStyle w:val="192"/>
              <w:rPr>
                <w:rFonts w:hint="default" w:ascii="Times New Roman" w:hAnsi="Times New Roman" w:cs="Times New Roman"/>
                <w:spacing w:val="-2"/>
                <w:sz w:val="24"/>
              </w:rPr>
            </w:pPr>
            <w:r>
              <w:rPr>
                <w:rFonts w:hint="default" w:ascii="Times New Roman" w:hAnsi="Times New Roman" w:cs="Times New Roman"/>
                <w:spacing w:val="-2"/>
                <w:sz w:val="24"/>
              </w:rPr>
              <w:t>一级及二级公路</w:t>
            </w:r>
          </w:p>
        </w:tc>
        <w:tc>
          <w:tcPr>
            <w:tcW w:w="1068" w:type="pct"/>
          </w:tcPr>
          <w:p w14:paraId="1AF471E4">
            <w:pPr>
              <w:pStyle w:val="192"/>
              <w:rPr>
                <w:rFonts w:hint="default" w:ascii="Times New Roman" w:hAnsi="Times New Roman" w:cs="Times New Roman"/>
                <w:spacing w:val="-2"/>
                <w:sz w:val="24"/>
              </w:rPr>
            </w:pPr>
            <w:r>
              <w:rPr>
                <w:rFonts w:hint="default" w:ascii="Times New Roman" w:hAnsi="Times New Roman" w:cs="Times New Roman"/>
                <w:spacing w:val="-2"/>
                <w:sz w:val="24"/>
              </w:rPr>
              <w:t>三级及四级公路</w:t>
            </w:r>
          </w:p>
        </w:tc>
      </w:tr>
      <w:tr w14:paraId="4FA0C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000" w:type="pct"/>
            <w:vMerge w:val="restart"/>
            <w:vAlign w:val="center"/>
          </w:tcPr>
          <w:p w14:paraId="64B40FBC">
            <w:pPr>
              <w:pStyle w:val="192"/>
              <w:rPr>
                <w:rFonts w:hint="default" w:ascii="Times New Roman" w:hAnsi="Times New Roman" w:cs="Times New Roman"/>
                <w:spacing w:val="-2"/>
                <w:sz w:val="24"/>
              </w:rPr>
            </w:pPr>
            <w:r>
              <w:rPr>
                <w:rFonts w:hint="default" w:ascii="Times New Roman" w:hAnsi="Times New Roman" w:cs="Times New Roman"/>
                <w:spacing w:val="-2"/>
                <w:sz w:val="24"/>
              </w:rPr>
              <w:t>沥青路面</w:t>
            </w:r>
          </w:p>
        </w:tc>
        <w:tc>
          <w:tcPr>
            <w:tcW w:w="1000" w:type="pct"/>
          </w:tcPr>
          <w:p w14:paraId="6ACC7B75">
            <w:pPr>
              <w:pStyle w:val="192"/>
              <w:rPr>
                <w:rFonts w:hint="default" w:ascii="Times New Roman" w:hAnsi="Times New Roman" w:cs="Times New Roman"/>
                <w:spacing w:val="-2"/>
                <w:sz w:val="24"/>
              </w:rPr>
            </w:pPr>
            <w:r>
              <w:rPr>
                <w:rFonts w:hint="default" w:ascii="Times New Roman" w:hAnsi="Times New Roman" w:cs="Times New Roman"/>
                <w:spacing w:val="-2"/>
                <w:sz w:val="24"/>
              </w:rPr>
              <w:t>PCI、RQI</w:t>
            </w:r>
          </w:p>
        </w:tc>
        <w:tc>
          <w:tcPr>
            <w:tcW w:w="904" w:type="pct"/>
          </w:tcPr>
          <w:p w14:paraId="41A92161">
            <w:pPr>
              <w:pStyle w:val="192"/>
              <w:rPr>
                <w:rFonts w:hint="default" w:ascii="Times New Roman" w:hAnsi="Times New Roman" w:cs="Times New Roman"/>
                <w:spacing w:val="-2"/>
                <w:sz w:val="24"/>
              </w:rPr>
            </w:pPr>
            <w:r>
              <w:rPr>
                <w:rFonts w:hint="default" w:ascii="Times New Roman" w:hAnsi="Times New Roman" w:cs="Times New Roman"/>
                <w:spacing w:val="-2"/>
                <w:sz w:val="24"/>
              </w:rPr>
              <w:t>≥85</w:t>
            </w:r>
          </w:p>
        </w:tc>
        <w:tc>
          <w:tcPr>
            <w:tcW w:w="1028" w:type="pct"/>
          </w:tcPr>
          <w:p w14:paraId="1072530B">
            <w:pPr>
              <w:pStyle w:val="192"/>
              <w:rPr>
                <w:rFonts w:hint="default" w:ascii="Times New Roman" w:hAnsi="Times New Roman" w:cs="Times New Roman"/>
                <w:spacing w:val="-2"/>
                <w:sz w:val="24"/>
              </w:rPr>
            </w:pPr>
            <w:r>
              <w:rPr>
                <w:rFonts w:hint="default" w:ascii="Times New Roman" w:hAnsi="Times New Roman" w:cs="Times New Roman"/>
                <w:spacing w:val="-2"/>
                <w:sz w:val="24"/>
              </w:rPr>
              <w:t>≥80</w:t>
            </w:r>
          </w:p>
        </w:tc>
        <w:tc>
          <w:tcPr>
            <w:tcW w:w="1068" w:type="pct"/>
          </w:tcPr>
          <w:p w14:paraId="0CE88772">
            <w:pPr>
              <w:pStyle w:val="192"/>
              <w:rPr>
                <w:rFonts w:hint="default" w:ascii="Times New Roman" w:hAnsi="Times New Roman" w:cs="Times New Roman"/>
                <w:spacing w:val="-2"/>
                <w:sz w:val="24"/>
              </w:rPr>
            </w:pPr>
            <w:r>
              <w:rPr>
                <w:rFonts w:hint="default" w:ascii="Times New Roman" w:hAnsi="Times New Roman" w:cs="Times New Roman"/>
                <w:spacing w:val="-2"/>
                <w:sz w:val="24"/>
              </w:rPr>
              <w:t>≥75</w:t>
            </w:r>
          </w:p>
        </w:tc>
      </w:tr>
      <w:tr w14:paraId="0AD9E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000" w:type="pct"/>
            <w:vMerge w:val="continue"/>
          </w:tcPr>
          <w:p w14:paraId="661638B5">
            <w:pPr>
              <w:pStyle w:val="192"/>
              <w:rPr>
                <w:rFonts w:hint="default" w:ascii="Times New Roman" w:hAnsi="Times New Roman" w:cs="Times New Roman"/>
                <w:spacing w:val="-2"/>
                <w:sz w:val="24"/>
              </w:rPr>
            </w:pPr>
          </w:p>
        </w:tc>
        <w:tc>
          <w:tcPr>
            <w:tcW w:w="1000" w:type="pct"/>
          </w:tcPr>
          <w:p w14:paraId="7D8A68D1">
            <w:pPr>
              <w:pStyle w:val="192"/>
              <w:rPr>
                <w:rFonts w:hint="default" w:ascii="Times New Roman" w:hAnsi="Times New Roman" w:cs="Times New Roman"/>
                <w:spacing w:val="-2"/>
                <w:sz w:val="24"/>
              </w:rPr>
            </w:pPr>
            <w:r>
              <w:rPr>
                <w:rFonts w:hint="default" w:ascii="Times New Roman" w:hAnsi="Times New Roman" w:cs="Times New Roman"/>
                <w:spacing w:val="-2"/>
                <w:sz w:val="24"/>
              </w:rPr>
              <w:t>RDI</w:t>
            </w:r>
          </w:p>
        </w:tc>
        <w:tc>
          <w:tcPr>
            <w:tcW w:w="904" w:type="pct"/>
          </w:tcPr>
          <w:p w14:paraId="41E41DCD">
            <w:pPr>
              <w:pStyle w:val="192"/>
              <w:rPr>
                <w:rFonts w:hint="default" w:ascii="Times New Roman" w:hAnsi="Times New Roman" w:cs="Times New Roman"/>
                <w:spacing w:val="-2"/>
                <w:sz w:val="24"/>
              </w:rPr>
            </w:pPr>
            <w:r>
              <w:rPr>
                <w:rFonts w:hint="default" w:ascii="Times New Roman" w:hAnsi="Times New Roman" w:cs="Times New Roman"/>
                <w:spacing w:val="-2"/>
                <w:sz w:val="24"/>
              </w:rPr>
              <w:t>≥80</w:t>
            </w:r>
          </w:p>
        </w:tc>
        <w:tc>
          <w:tcPr>
            <w:tcW w:w="1028" w:type="pct"/>
          </w:tcPr>
          <w:p w14:paraId="67580F52">
            <w:pPr>
              <w:pStyle w:val="192"/>
              <w:rPr>
                <w:rFonts w:hint="default" w:ascii="Times New Roman" w:hAnsi="Times New Roman" w:cs="Times New Roman"/>
                <w:spacing w:val="-2"/>
                <w:sz w:val="24"/>
              </w:rPr>
            </w:pPr>
            <w:r>
              <w:rPr>
                <w:rFonts w:hint="default" w:ascii="Times New Roman" w:hAnsi="Times New Roman" w:cs="Times New Roman"/>
                <w:spacing w:val="-2"/>
                <w:sz w:val="24"/>
              </w:rPr>
              <w:t>≥75</w:t>
            </w:r>
          </w:p>
        </w:tc>
        <w:tc>
          <w:tcPr>
            <w:tcW w:w="1068" w:type="pct"/>
          </w:tcPr>
          <w:p w14:paraId="3850B26D">
            <w:pPr>
              <w:pStyle w:val="192"/>
              <w:rPr>
                <w:rFonts w:hint="default" w:ascii="Times New Roman" w:hAnsi="Times New Roman" w:cs="Times New Roman"/>
                <w:spacing w:val="-2"/>
                <w:sz w:val="24"/>
              </w:rPr>
            </w:pPr>
            <w:r>
              <w:rPr>
                <w:rFonts w:hint="default" w:ascii="Times New Roman" w:hAnsi="Times New Roman" w:cs="Times New Roman"/>
                <w:spacing w:val="-2"/>
                <w:sz w:val="24"/>
              </w:rPr>
              <w:t>≥70</w:t>
            </w:r>
          </w:p>
        </w:tc>
      </w:tr>
      <w:tr w14:paraId="383FD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 w:hRule="atLeast"/>
        </w:trPr>
        <w:tc>
          <w:tcPr>
            <w:tcW w:w="1000" w:type="pct"/>
            <w:vMerge w:val="restart"/>
            <w:vAlign w:val="center"/>
          </w:tcPr>
          <w:p w14:paraId="637A23B8">
            <w:pPr>
              <w:pStyle w:val="192"/>
              <w:rPr>
                <w:rFonts w:hint="default" w:ascii="Times New Roman" w:hAnsi="Times New Roman" w:cs="Times New Roman"/>
                <w:spacing w:val="-2"/>
                <w:sz w:val="24"/>
              </w:rPr>
            </w:pPr>
            <w:r>
              <w:rPr>
                <w:rFonts w:hint="default" w:ascii="Times New Roman" w:hAnsi="Times New Roman" w:cs="Times New Roman"/>
                <w:spacing w:val="-2"/>
                <w:sz w:val="24"/>
              </w:rPr>
              <w:t>水泥路面</w:t>
            </w:r>
          </w:p>
        </w:tc>
        <w:tc>
          <w:tcPr>
            <w:tcW w:w="1000" w:type="pct"/>
          </w:tcPr>
          <w:p w14:paraId="5FB92FF8">
            <w:pPr>
              <w:pStyle w:val="192"/>
              <w:rPr>
                <w:rFonts w:hint="default" w:ascii="Times New Roman" w:hAnsi="Times New Roman" w:cs="Times New Roman"/>
                <w:spacing w:val="-2"/>
                <w:sz w:val="24"/>
              </w:rPr>
            </w:pPr>
            <w:r>
              <w:rPr>
                <w:rFonts w:hint="default" w:ascii="Times New Roman" w:hAnsi="Times New Roman" w:cs="Times New Roman"/>
                <w:spacing w:val="-2"/>
                <w:sz w:val="24"/>
              </w:rPr>
              <w:t>PCI、RQI</w:t>
            </w:r>
          </w:p>
        </w:tc>
        <w:tc>
          <w:tcPr>
            <w:tcW w:w="904" w:type="pct"/>
          </w:tcPr>
          <w:p w14:paraId="5E722D09">
            <w:pPr>
              <w:pStyle w:val="192"/>
              <w:rPr>
                <w:rFonts w:hint="default" w:ascii="Times New Roman" w:hAnsi="Times New Roman" w:cs="Times New Roman"/>
                <w:spacing w:val="-2"/>
                <w:sz w:val="24"/>
              </w:rPr>
            </w:pPr>
            <w:r>
              <w:rPr>
                <w:rFonts w:hint="default" w:ascii="Times New Roman" w:hAnsi="Times New Roman" w:cs="Times New Roman"/>
                <w:spacing w:val="-2"/>
                <w:sz w:val="24"/>
              </w:rPr>
              <w:t>≥85</w:t>
            </w:r>
          </w:p>
        </w:tc>
        <w:tc>
          <w:tcPr>
            <w:tcW w:w="1028" w:type="pct"/>
          </w:tcPr>
          <w:p w14:paraId="5D369A58">
            <w:pPr>
              <w:pStyle w:val="192"/>
              <w:rPr>
                <w:rFonts w:hint="default" w:ascii="Times New Roman" w:hAnsi="Times New Roman" w:cs="Times New Roman"/>
                <w:spacing w:val="-2"/>
                <w:sz w:val="24"/>
              </w:rPr>
            </w:pPr>
            <w:r>
              <w:rPr>
                <w:rFonts w:hint="default" w:ascii="Times New Roman" w:hAnsi="Times New Roman" w:cs="Times New Roman"/>
                <w:spacing w:val="-2"/>
                <w:sz w:val="24"/>
              </w:rPr>
              <w:t>≥80</w:t>
            </w:r>
          </w:p>
        </w:tc>
        <w:tc>
          <w:tcPr>
            <w:tcW w:w="1068" w:type="pct"/>
          </w:tcPr>
          <w:p w14:paraId="12CC0746">
            <w:pPr>
              <w:pStyle w:val="192"/>
              <w:rPr>
                <w:rFonts w:hint="default" w:ascii="Times New Roman" w:hAnsi="Times New Roman" w:cs="Times New Roman"/>
                <w:spacing w:val="-2"/>
                <w:sz w:val="24"/>
              </w:rPr>
            </w:pPr>
            <w:r>
              <w:rPr>
                <w:rFonts w:hint="default" w:ascii="Times New Roman" w:hAnsi="Times New Roman" w:cs="Times New Roman"/>
                <w:spacing w:val="-2"/>
                <w:sz w:val="24"/>
              </w:rPr>
              <w:t>≥75</w:t>
            </w:r>
          </w:p>
        </w:tc>
      </w:tr>
      <w:tr w14:paraId="423F0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000" w:type="pct"/>
            <w:vMerge w:val="continue"/>
          </w:tcPr>
          <w:p w14:paraId="036B5EAD">
            <w:pPr>
              <w:pStyle w:val="192"/>
              <w:rPr>
                <w:rFonts w:hint="default" w:ascii="Times New Roman" w:hAnsi="Times New Roman" w:cs="Times New Roman"/>
                <w:spacing w:val="-2"/>
                <w:sz w:val="24"/>
              </w:rPr>
            </w:pPr>
          </w:p>
        </w:tc>
        <w:tc>
          <w:tcPr>
            <w:tcW w:w="1000" w:type="pct"/>
          </w:tcPr>
          <w:p w14:paraId="491BCDAB">
            <w:pPr>
              <w:pStyle w:val="192"/>
              <w:rPr>
                <w:rFonts w:hint="default" w:ascii="Times New Roman" w:hAnsi="Times New Roman" w:cs="Times New Roman"/>
                <w:spacing w:val="-2"/>
                <w:sz w:val="24"/>
              </w:rPr>
            </w:pPr>
            <w:r>
              <w:rPr>
                <w:rFonts w:hint="default" w:ascii="Times New Roman" w:hAnsi="Times New Roman" w:cs="Times New Roman"/>
                <w:spacing w:val="-2"/>
                <w:sz w:val="24"/>
              </w:rPr>
              <w:t>DBL（%）</w:t>
            </w:r>
          </w:p>
        </w:tc>
        <w:tc>
          <w:tcPr>
            <w:tcW w:w="904" w:type="pct"/>
          </w:tcPr>
          <w:p w14:paraId="4AADE326">
            <w:pPr>
              <w:pStyle w:val="192"/>
              <w:rPr>
                <w:rFonts w:hint="default" w:ascii="Times New Roman" w:hAnsi="Times New Roman" w:cs="Times New Roman"/>
                <w:spacing w:val="-2"/>
                <w:sz w:val="24"/>
                <w:szCs w:val="17"/>
              </w:rPr>
            </w:pPr>
            <w:r>
              <w:rPr>
                <w:rFonts w:hint="default" w:ascii="Times New Roman" w:hAnsi="Times New Roman" w:cs="Times New Roman"/>
                <w:spacing w:val="-2"/>
                <w:sz w:val="24"/>
              </w:rPr>
              <w:t>≤3</w:t>
            </w:r>
          </w:p>
        </w:tc>
        <w:tc>
          <w:tcPr>
            <w:tcW w:w="1028" w:type="pct"/>
          </w:tcPr>
          <w:p w14:paraId="0BF01455">
            <w:pPr>
              <w:pStyle w:val="192"/>
              <w:rPr>
                <w:rFonts w:hint="default" w:ascii="Times New Roman" w:hAnsi="Times New Roman" w:cs="Times New Roman"/>
                <w:spacing w:val="-2"/>
                <w:sz w:val="24"/>
              </w:rPr>
            </w:pPr>
            <w:r>
              <w:rPr>
                <w:rFonts w:hint="default" w:ascii="Times New Roman" w:hAnsi="Times New Roman" w:cs="Times New Roman"/>
                <w:spacing w:val="-2"/>
                <w:sz w:val="24"/>
              </w:rPr>
              <w:t>≤5</w:t>
            </w:r>
          </w:p>
        </w:tc>
        <w:tc>
          <w:tcPr>
            <w:tcW w:w="1068" w:type="pct"/>
          </w:tcPr>
          <w:p w14:paraId="1448A718">
            <w:pPr>
              <w:pStyle w:val="192"/>
              <w:rPr>
                <w:rFonts w:hint="default" w:ascii="Times New Roman" w:hAnsi="Times New Roman" w:cs="Times New Roman"/>
                <w:spacing w:val="-2"/>
                <w:sz w:val="24"/>
              </w:rPr>
            </w:pPr>
            <w:r>
              <w:rPr>
                <w:rFonts w:hint="default" w:ascii="Times New Roman" w:hAnsi="Times New Roman" w:cs="Times New Roman"/>
                <w:spacing w:val="-2"/>
                <w:sz w:val="24"/>
              </w:rPr>
              <w:t>≤7</w:t>
            </w:r>
          </w:p>
        </w:tc>
      </w:tr>
    </w:tbl>
    <w:p w14:paraId="0F75521B">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23" w:name="_Toc8459"/>
      <w:r>
        <w:rPr>
          <w:rFonts w:hint="default" w:ascii="Times New Roman" w:hAnsi="Times New Roman" w:cs="Times New Roman"/>
          <w:sz w:val="24"/>
        </w:rPr>
        <w:t>原路面处置</w:t>
      </w:r>
      <w:bookmarkEnd w:id="23"/>
    </w:p>
    <w:p w14:paraId="1649F798">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高延弹超薄罩面用于沥青路面养护工程时，在罩面前应完成翻浆、坑槽、严重裂缝、沉陷、拥包、松散、车辙等病害的修复工作，并清除路面上的泥土杂物。</w:t>
      </w:r>
    </w:p>
    <w:p w14:paraId="2EAC4548">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高延弹超薄罩面用于水泥路面的养护工程时，应对面板进行修整和处理。对板底脱空可采用板下封堵的方法进行压浆处理。对板块破碎、板角断裂、沉陷、掉边、缺角等病害，应予以凿除。清除碎屑后，应整平基层并夯压密实，铺筑与旧板块相同强度等级的水泥混凝土，其板面高程应与旧板面齐平。</w:t>
      </w:r>
    </w:p>
    <w:p w14:paraId="273E4AE3">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对板底脱空采用板下封堵的注浆修复后，应对水泥板块弯沉进行检测，水泥板块板角弯沉应不大于20（0.01㎜），相邻板块裂缝间弯沉差应不大于6（0.01㎜）。</w:t>
      </w:r>
    </w:p>
    <w:p w14:paraId="123DE6F8">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原路面裂缝，各种宽度的裂缝均需进行灌缝处理。且需要对原水泥路面的横缝、纵缝进行灌缝处理。</w:t>
      </w:r>
    </w:p>
    <w:p w14:paraId="3F6F2CFD">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24" w:name="_Toc179636654"/>
      <w:bookmarkStart w:id="25" w:name="_Toc2251"/>
      <w:r>
        <w:rPr>
          <w:rFonts w:hint="default" w:ascii="Times New Roman" w:hAnsi="Times New Roman" w:cs="Times New Roman"/>
          <w:sz w:val="24"/>
        </w:rPr>
        <w:t>厚度设计与材料选择</w:t>
      </w:r>
      <w:bookmarkEnd w:id="24"/>
      <w:bookmarkEnd w:id="25"/>
    </w:p>
    <w:p w14:paraId="26CC16F1">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根据原路面的平整度情况，宜按照表4.4.1确定超薄罩面的最小厚度。</w:t>
      </w:r>
    </w:p>
    <w:p w14:paraId="549BC982">
      <w:pPr>
        <w:pStyle w:val="29"/>
        <w:tabs>
          <w:tab w:val="center" w:pos="993"/>
          <w:tab w:val="clear" w:pos="4201"/>
        </w:tabs>
        <w:spacing w:line="360" w:lineRule="auto"/>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表4.4.1 超薄罩面最小厚度</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984"/>
        <w:gridCol w:w="2576"/>
        <w:gridCol w:w="2776"/>
      </w:tblGrid>
      <w:tr w14:paraId="5A8B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7F807FBB">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平整度</w:t>
            </w:r>
          </w:p>
          <w:p w14:paraId="7FB120D1">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（平均最大间隙δ</w:t>
            </w:r>
            <w:r>
              <w:rPr>
                <w:rFonts w:hint="default" w:ascii="Times New Roman" w:hAnsi="Times New Roman" w:cs="Times New Roman" w:eastAsiaTheme="minorEastAsia"/>
                <w:spacing w:val="-2"/>
                <w:vertAlign w:val="subscript"/>
              </w:rPr>
              <w:t>m</w:t>
            </w:r>
            <w:r>
              <w:rPr>
                <w:rFonts w:hint="default" w:ascii="Times New Roman" w:hAnsi="Times New Roman" w:cs="Times New Roman" w:eastAsiaTheme="minorEastAsia"/>
                <w:spacing w:val="-2"/>
              </w:rPr>
              <w:t>）</w:t>
            </w:r>
          </w:p>
        </w:tc>
        <w:tc>
          <w:tcPr>
            <w:tcW w:w="1545" w:type="pct"/>
            <w:vAlign w:val="center"/>
          </w:tcPr>
          <w:p w14:paraId="4944E3BE">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最小厚度</w:t>
            </w:r>
          </w:p>
        </w:tc>
        <w:tc>
          <w:tcPr>
            <w:tcW w:w="1665" w:type="pct"/>
            <w:shd w:val="clear" w:color="auto" w:fill="auto"/>
            <w:vAlign w:val="center"/>
          </w:tcPr>
          <w:p w14:paraId="72E1C690">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6EDD4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 w:hRule="atLeast"/>
        </w:trPr>
        <w:tc>
          <w:tcPr>
            <w:tcW w:w="1790" w:type="pct"/>
            <w:shd w:val="clear" w:color="auto" w:fill="auto"/>
          </w:tcPr>
          <w:p w14:paraId="33ED015B">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＜5mm</w:t>
            </w:r>
          </w:p>
        </w:tc>
        <w:tc>
          <w:tcPr>
            <w:tcW w:w="1545" w:type="pct"/>
          </w:tcPr>
          <w:p w14:paraId="2659CBBD">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12mm</w:t>
            </w:r>
          </w:p>
        </w:tc>
        <w:tc>
          <w:tcPr>
            <w:tcW w:w="1665" w:type="pct"/>
            <w:vMerge w:val="restart"/>
            <w:shd w:val="clear" w:color="auto" w:fill="auto"/>
            <w:vAlign w:val="center"/>
          </w:tcPr>
          <w:p w14:paraId="5DE9D6AB">
            <w:pPr>
              <w:pStyle w:val="192"/>
              <w:rPr>
                <w:rFonts w:hint="default" w:ascii="Times New Roman" w:hAnsi="Times New Roman" w:cs="Times New Roman"/>
                <w:spacing w:val="-2"/>
              </w:rPr>
            </w:pPr>
            <w:r>
              <w:rPr>
                <w:rFonts w:hint="default" w:ascii="Times New Roman" w:hAnsi="Times New Roman" w:cs="Times New Roman"/>
                <w:spacing w:val="-2"/>
              </w:rPr>
              <w:t>T0931</w:t>
            </w:r>
          </w:p>
        </w:tc>
      </w:tr>
      <w:tr w14:paraId="7816B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3964F6C5">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＜7mm</w:t>
            </w:r>
          </w:p>
        </w:tc>
        <w:tc>
          <w:tcPr>
            <w:tcW w:w="1545" w:type="pct"/>
          </w:tcPr>
          <w:p w14:paraId="715BBCCE">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15mm</w:t>
            </w:r>
          </w:p>
        </w:tc>
        <w:tc>
          <w:tcPr>
            <w:tcW w:w="1665" w:type="pct"/>
            <w:vMerge w:val="continue"/>
            <w:shd w:val="clear" w:color="auto" w:fill="auto"/>
          </w:tcPr>
          <w:p w14:paraId="6767117C">
            <w:pPr>
              <w:pStyle w:val="192"/>
              <w:rPr>
                <w:rFonts w:hint="default" w:ascii="Times New Roman" w:hAnsi="Times New Roman" w:cs="Times New Roman"/>
                <w:spacing w:val="-2"/>
                <w:sz w:val="24"/>
                <w:szCs w:val="17"/>
              </w:rPr>
            </w:pPr>
          </w:p>
        </w:tc>
      </w:tr>
      <w:tr w14:paraId="1FDD8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790" w:type="pct"/>
            <w:shd w:val="clear" w:color="auto" w:fill="auto"/>
          </w:tcPr>
          <w:p w14:paraId="1B4C6CC1">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＜12mm</w:t>
            </w:r>
          </w:p>
        </w:tc>
        <w:tc>
          <w:tcPr>
            <w:tcW w:w="1545" w:type="pct"/>
          </w:tcPr>
          <w:p w14:paraId="5DF4E195">
            <w:pPr>
              <w:pStyle w:val="192"/>
              <w:rPr>
                <w:rFonts w:hint="default" w:ascii="Times New Roman" w:hAnsi="Times New Roman" w:cs="Times New Roman" w:eastAsiaTheme="minorEastAsia"/>
                <w:spacing w:val="-2"/>
              </w:rPr>
            </w:pPr>
            <w:r>
              <w:rPr>
                <w:rFonts w:hint="default" w:ascii="Times New Roman" w:hAnsi="Times New Roman" w:cs="Times New Roman" w:eastAsiaTheme="minorEastAsia"/>
                <w:spacing w:val="-2"/>
              </w:rPr>
              <w:t>20mm</w:t>
            </w:r>
          </w:p>
        </w:tc>
        <w:tc>
          <w:tcPr>
            <w:tcW w:w="1665" w:type="pct"/>
            <w:vMerge w:val="continue"/>
            <w:shd w:val="clear" w:color="auto" w:fill="auto"/>
          </w:tcPr>
          <w:p w14:paraId="167EF72F">
            <w:pPr>
              <w:pStyle w:val="192"/>
              <w:rPr>
                <w:rFonts w:hint="default" w:ascii="Times New Roman" w:hAnsi="Times New Roman" w:cs="Times New Roman"/>
                <w:spacing w:val="-2"/>
                <w:sz w:val="24"/>
                <w:szCs w:val="17"/>
              </w:rPr>
            </w:pPr>
          </w:p>
        </w:tc>
      </w:tr>
    </w:tbl>
    <w:p w14:paraId="39B65B3E">
      <w:pPr>
        <w:pStyle w:val="29"/>
        <w:numPr>
          <w:ilvl w:val="2"/>
          <w:numId w:val="17"/>
        </w:numPr>
        <w:tabs>
          <w:tab w:val="center" w:pos="993"/>
          <w:tab w:val="clear" w:pos="4201"/>
        </w:tabs>
        <w:spacing w:line="360" w:lineRule="auto"/>
        <w:ind w:left="0" w:firstLine="424" w:firstLineChars="177"/>
        <w:rPr>
          <w:rFonts w:hint="default" w:ascii="Times New Roman" w:hAnsi="Times New Roman" w:cs="Times New Roman"/>
          <w:sz w:val="24"/>
        </w:rPr>
      </w:pPr>
      <w:r>
        <w:rPr>
          <w:rFonts w:hint="default" w:ascii="Times New Roman" w:hAnsi="Times New Roman" w:cs="Times New Roman"/>
          <w:sz w:val="24"/>
        </w:rPr>
        <w:t>不同厚度下混合料类型宜按照表4.4.2进行选择。</w:t>
      </w:r>
    </w:p>
    <w:p w14:paraId="42E1474C">
      <w:pPr>
        <w:pStyle w:val="29"/>
        <w:tabs>
          <w:tab w:val="center" w:pos="993"/>
          <w:tab w:val="clear" w:pos="4201"/>
        </w:tabs>
        <w:spacing w:line="360" w:lineRule="auto"/>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szCs w:val="21"/>
        </w:rPr>
        <w:t>表4.4.2 不同厚度下混合料类型</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68"/>
        <w:gridCol w:w="4168"/>
      </w:tblGrid>
      <w:tr w14:paraId="08066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2500" w:type="pct"/>
            <w:vAlign w:val="center"/>
          </w:tcPr>
          <w:p w14:paraId="446F8328">
            <w:pPr>
              <w:pStyle w:val="192"/>
              <w:rPr>
                <w:rFonts w:hint="default" w:ascii="Times New Roman" w:hAnsi="Times New Roman" w:cs="Times New Roman"/>
                <w:spacing w:val="-2"/>
                <w:szCs w:val="18"/>
              </w:rPr>
            </w:pPr>
            <w:r>
              <w:rPr>
                <w:rFonts w:hint="default" w:ascii="Times New Roman" w:hAnsi="Times New Roman" w:cs="Times New Roman"/>
                <w:spacing w:val="-2"/>
                <w:szCs w:val="18"/>
              </w:rPr>
              <w:t>设计厚度（mm）</w:t>
            </w:r>
          </w:p>
        </w:tc>
        <w:tc>
          <w:tcPr>
            <w:tcW w:w="2500" w:type="pct"/>
            <w:vAlign w:val="center"/>
          </w:tcPr>
          <w:p w14:paraId="050766FB">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混合料类型选择</w:t>
            </w:r>
          </w:p>
        </w:tc>
      </w:tr>
      <w:tr w14:paraId="56373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2500" w:type="pct"/>
            <w:vAlign w:val="center"/>
          </w:tcPr>
          <w:p w14:paraId="79F6CDB5">
            <w:pPr>
              <w:pStyle w:val="192"/>
              <w:rPr>
                <w:rFonts w:hint="default" w:ascii="Times New Roman" w:hAnsi="Times New Roman" w:cs="Times New Roman"/>
                <w:spacing w:val="-2"/>
                <w:szCs w:val="18"/>
              </w:rPr>
            </w:pPr>
            <w:r>
              <w:rPr>
                <w:rFonts w:hint="default" w:ascii="Times New Roman" w:hAnsi="Times New Roman" w:cs="Times New Roman"/>
                <w:spacing w:val="-2"/>
                <w:szCs w:val="18"/>
              </w:rPr>
              <w:t>12~20</w:t>
            </w:r>
          </w:p>
        </w:tc>
        <w:tc>
          <w:tcPr>
            <w:tcW w:w="2500" w:type="pct"/>
            <w:vAlign w:val="center"/>
          </w:tcPr>
          <w:p w14:paraId="0C3E89C0">
            <w:pPr>
              <w:pStyle w:val="192"/>
              <w:rPr>
                <w:rFonts w:hint="default" w:ascii="Times New Roman" w:hAnsi="Times New Roman" w:cs="Times New Roman"/>
                <w:spacing w:val="-2"/>
                <w:szCs w:val="18"/>
              </w:rPr>
            </w:pPr>
            <w:r>
              <w:rPr>
                <w:rFonts w:hint="default" w:ascii="Times New Roman" w:hAnsi="Times New Roman" w:cs="Times New Roman"/>
                <w:spacing w:val="-2"/>
                <w:szCs w:val="18"/>
              </w:rPr>
              <w:t>DTO-5</w:t>
            </w:r>
          </w:p>
        </w:tc>
      </w:tr>
      <w:tr w14:paraId="1E8EF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2500" w:type="pct"/>
            <w:vAlign w:val="center"/>
          </w:tcPr>
          <w:p w14:paraId="1FDC8E6F">
            <w:pPr>
              <w:pStyle w:val="192"/>
              <w:rPr>
                <w:rFonts w:hint="default" w:ascii="Times New Roman" w:hAnsi="Times New Roman" w:cs="Times New Roman"/>
                <w:spacing w:val="-2"/>
                <w:szCs w:val="18"/>
              </w:rPr>
            </w:pPr>
            <w:r>
              <w:rPr>
                <w:rFonts w:hint="default" w:ascii="Times New Roman" w:hAnsi="Times New Roman" w:cs="Times New Roman"/>
                <w:spacing w:val="-2"/>
                <w:szCs w:val="18"/>
              </w:rPr>
              <w:t>20~25</w:t>
            </w:r>
          </w:p>
        </w:tc>
        <w:tc>
          <w:tcPr>
            <w:tcW w:w="2500" w:type="pct"/>
            <w:vAlign w:val="center"/>
          </w:tcPr>
          <w:p w14:paraId="6B510739">
            <w:pPr>
              <w:pStyle w:val="192"/>
              <w:rPr>
                <w:rFonts w:hint="default" w:ascii="Times New Roman" w:hAnsi="Times New Roman" w:cs="Times New Roman"/>
                <w:spacing w:val="-2"/>
                <w:szCs w:val="18"/>
              </w:rPr>
            </w:pPr>
            <w:r>
              <w:rPr>
                <w:rFonts w:hint="default" w:ascii="Times New Roman" w:hAnsi="Times New Roman" w:cs="Times New Roman"/>
                <w:spacing w:val="-2"/>
                <w:szCs w:val="18"/>
              </w:rPr>
              <w:t>DTO-10</w:t>
            </w:r>
          </w:p>
        </w:tc>
      </w:tr>
    </w:tbl>
    <w:p w14:paraId="614C9F74">
      <w:pPr>
        <w:pStyle w:val="52"/>
        <w:tabs>
          <w:tab w:val="left" w:pos="917"/>
        </w:tabs>
        <w:spacing w:beforeLines="0" w:afterLines="0" w:line="360" w:lineRule="auto"/>
        <w:ind w:left="425"/>
        <w:outlineLvl w:val="9"/>
        <w:rPr>
          <w:rFonts w:hint="default" w:ascii="Times New Roman" w:hAnsi="Times New Roman" w:cs="Times New Roman" w:eastAsiaTheme="minorEastAsia"/>
          <w:b/>
          <w:bCs/>
          <w:sz w:val="32"/>
          <w:szCs w:val="22"/>
        </w:rPr>
      </w:pPr>
      <w:bookmarkStart w:id="26" w:name="_Toc179636655"/>
      <w:bookmarkStart w:id="27" w:name="_Toc126742836"/>
      <w:r>
        <w:rPr>
          <w:rFonts w:hint="default" w:ascii="Times New Roman" w:hAnsi="Times New Roman" w:cs="Times New Roman" w:eastAsiaTheme="minorEastAsia"/>
          <w:b/>
          <w:bCs/>
          <w:sz w:val="32"/>
          <w:szCs w:val="22"/>
        </w:rPr>
        <w:tab/>
      </w:r>
    </w:p>
    <w:p w14:paraId="01532F4F">
      <w:pPr>
        <w:tabs>
          <w:tab w:val="left" w:pos="1561"/>
        </w:tabs>
        <w:rPr>
          <w:rFonts w:hint="default" w:ascii="Times New Roman" w:hAnsi="Times New Roman" w:cs="Times New Roman"/>
        </w:rPr>
        <w:sectPr>
          <w:type w:val="continuous"/>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tab/>
      </w:r>
    </w:p>
    <w:p w14:paraId="5629F36A">
      <w:pPr>
        <w:pStyle w:val="52"/>
        <w:spacing w:beforeLines="0" w:afterLines="0" w:line="360" w:lineRule="auto"/>
        <w:ind w:left="425"/>
        <w:outlineLvl w:val="9"/>
        <w:rPr>
          <w:rFonts w:hint="default" w:ascii="Times New Roman" w:hAnsi="Times New Roman" w:cs="Times New Roman" w:eastAsiaTheme="minorEastAsia"/>
          <w:b/>
          <w:bCs/>
          <w:sz w:val="32"/>
          <w:szCs w:val="22"/>
        </w:rPr>
      </w:pPr>
    </w:p>
    <w:p w14:paraId="7B8284D2">
      <w:pPr>
        <w:widowControl/>
        <w:jc w:val="left"/>
        <w:rPr>
          <w:rFonts w:hint="default" w:ascii="Times New Roman" w:hAnsi="Times New Roman" w:cs="Times New Roman" w:eastAsiaTheme="minorEastAsia"/>
          <w:b/>
          <w:bCs/>
          <w:kern w:val="0"/>
          <w:sz w:val="32"/>
          <w:szCs w:val="22"/>
        </w:rPr>
      </w:pPr>
      <w:r>
        <w:rPr>
          <w:rFonts w:hint="default" w:ascii="Times New Roman" w:hAnsi="Times New Roman" w:cs="Times New Roman" w:eastAsiaTheme="minorEastAsia"/>
          <w:b/>
          <w:bCs/>
          <w:sz w:val="32"/>
          <w:szCs w:val="22"/>
        </w:rPr>
        <w:br w:type="page"/>
      </w:r>
    </w:p>
    <w:p w14:paraId="7211E05C">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28" w:name="_Toc17427"/>
      <w:r>
        <w:rPr>
          <w:rFonts w:hint="default" w:ascii="Times New Roman" w:hAnsi="Times New Roman" w:cs="Times New Roman" w:eastAsiaTheme="minorEastAsia"/>
          <w:b/>
          <w:bCs/>
          <w:sz w:val="32"/>
          <w:szCs w:val="22"/>
        </w:rPr>
        <w:t>材料</w:t>
      </w:r>
      <w:bookmarkEnd w:id="26"/>
      <w:bookmarkEnd w:id="28"/>
    </w:p>
    <w:p w14:paraId="3563CD0C">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29" w:name="_Toc8728646"/>
      <w:bookmarkStart w:id="30" w:name="_Toc179636656"/>
      <w:bookmarkStart w:id="31" w:name="_Toc171517472"/>
      <w:bookmarkStart w:id="32" w:name="_Toc101871664"/>
      <w:bookmarkStart w:id="33" w:name="_Toc22547"/>
      <w:r>
        <w:rPr>
          <w:rFonts w:hint="default" w:ascii="Times New Roman" w:hAnsi="Times New Roman" w:cs="Times New Roman"/>
          <w:sz w:val="24"/>
        </w:rPr>
        <w:t>一般规定</w:t>
      </w:r>
      <w:bookmarkEnd w:id="29"/>
      <w:bookmarkEnd w:id="30"/>
      <w:bookmarkEnd w:id="31"/>
      <w:bookmarkEnd w:id="32"/>
      <w:bookmarkEnd w:id="33"/>
    </w:p>
    <w:p w14:paraId="0222F9D9">
      <w:pPr>
        <w:numPr>
          <w:ilvl w:val="2"/>
          <w:numId w:val="20"/>
        </w:numPr>
        <w:tabs>
          <w:tab w:val="left" w:pos="993"/>
        </w:tabs>
        <w:spacing w:line="360" w:lineRule="auto"/>
        <w:ind w:left="0" w:firstLine="425"/>
        <w:rPr>
          <w:rFonts w:hint="default" w:ascii="Times New Roman" w:hAnsi="Times New Roman" w:cs="Times New Roman"/>
          <w:kern w:val="0"/>
          <w:sz w:val="24"/>
          <w:szCs w:val="20"/>
        </w:rPr>
      </w:pPr>
      <w:r>
        <w:rPr>
          <w:rFonts w:hint="default" w:ascii="Times New Roman" w:hAnsi="Times New Roman" w:cs="Times New Roman"/>
          <w:kern w:val="0"/>
          <w:sz w:val="24"/>
          <w:szCs w:val="20"/>
        </w:rPr>
        <w:t>高延弹沥青超薄罩面使用的各种材料应按规定取样进行质量检验，检验合格后方可使用。</w:t>
      </w:r>
    </w:p>
    <w:p w14:paraId="29F34B5D">
      <w:pPr>
        <w:numPr>
          <w:ilvl w:val="2"/>
          <w:numId w:val="20"/>
        </w:numPr>
        <w:tabs>
          <w:tab w:val="left" w:pos="993"/>
          <w:tab w:val="left" w:pos="1418"/>
        </w:tabs>
        <w:spacing w:line="360" w:lineRule="auto"/>
        <w:ind w:left="0" w:firstLine="425"/>
        <w:rPr>
          <w:rFonts w:hint="default" w:ascii="Times New Roman" w:hAnsi="Times New Roman" w:cs="Times New Roman"/>
          <w:kern w:val="0"/>
          <w:sz w:val="24"/>
          <w:szCs w:val="20"/>
        </w:rPr>
      </w:pPr>
      <w:r>
        <w:rPr>
          <w:rFonts w:hint="default" w:ascii="Times New Roman" w:hAnsi="Times New Roman" w:cs="Times New Roman"/>
          <w:kern w:val="0"/>
          <w:sz w:val="24"/>
          <w:szCs w:val="20"/>
        </w:rPr>
        <w:t>各类原材料应单独存放，并注意覆盖防雨布，避免暴晒，不可与其它材料混杂存放。</w:t>
      </w:r>
    </w:p>
    <w:p w14:paraId="05D4557B">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34" w:name="_Toc12863"/>
      <w:r>
        <w:rPr>
          <w:rFonts w:hint="default" w:ascii="Times New Roman" w:hAnsi="Times New Roman" w:cs="Times New Roman"/>
          <w:sz w:val="24"/>
        </w:rPr>
        <w:t>高延弹改性沥青</w:t>
      </w:r>
      <w:bookmarkEnd w:id="34"/>
    </w:p>
    <w:p w14:paraId="3DDFF081">
      <w:pPr>
        <w:pStyle w:val="186"/>
        <w:numPr>
          <w:ilvl w:val="2"/>
          <w:numId w:val="17"/>
        </w:numPr>
        <w:spacing w:line="360" w:lineRule="auto"/>
        <w:ind w:left="993" w:firstLineChars="0"/>
        <w:rPr>
          <w:rFonts w:hint="default" w:ascii="Times New Roman" w:hAnsi="Times New Roman" w:cs="Times New Roman"/>
          <w:kern w:val="0"/>
          <w:sz w:val="24"/>
          <w:szCs w:val="20"/>
        </w:rPr>
      </w:pPr>
      <w:r>
        <w:rPr>
          <w:rFonts w:hint="default" w:ascii="Times New Roman" w:hAnsi="Times New Roman" w:cs="Times New Roman"/>
          <w:kern w:val="0"/>
          <w:sz w:val="24"/>
          <w:szCs w:val="20"/>
        </w:rPr>
        <w:t>高延弹改性沥青应满足表5.2.1所示的规定。</w:t>
      </w:r>
    </w:p>
    <w:p w14:paraId="531A4DC5">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表5.2.1 高延弹改性沥青技术指标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273"/>
        <w:gridCol w:w="1489"/>
        <w:gridCol w:w="1340"/>
        <w:gridCol w:w="2234"/>
      </w:tblGrid>
      <w:tr w14:paraId="5262C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963" w:type="pct"/>
            <w:shd w:val="clear" w:color="auto" w:fill="auto"/>
            <w:vAlign w:val="center"/>
          </w:tcPr>
          <w:p w14:paraId="33264E4B">
            <w:pPr>
              <w:pStyle w:val="192"/>
              <w:rPr>
                <w:rFonts w:hint="default" w:ascii="Times New Roman" w:hAnsi="Times New Roman" w:cs="Times New Roman"/>
                <w:spacing w:val="-2"/>
              </w:rPr>
            </w:pPr>
            <w:bookmarkStart w:id="35" w:name="_Hlk179881809"/>
            <w:r>
              <w:rPr>
                <w:rFonts w:hint="default" w:ascii="Times New Roman" w:hAnsi="Times New Roman" w:cs="Times New Roman"/>
                <w:spacing w:val="-2"/>
              </w:rPr>
              <w:t>试验项目</w:t>
            </w:r>
          </w:p>
        </w:tc>
        <w:tc>
          <w:tcPr>
            <w:tcW w:w="893" w:type="pct"/>
            <w:shd w:val="clear" w:color="auto" w:fill="auto"/>
            <w:vAlign w:val="center"/>
          </w:tcPr>
          <w:p w14:paraId="5F9650E9">
            <w:pPr>
              <w:pStyle w:val="192"/>
              <w:rPr>
                <w:rFonts w:hint="default" w:ascii="Times New Roman" w:hAnsi="Times New Roman" w:cs="Times New Roman"/>
                <w:spacing w:val="-2"/>
              </w:rPr>
            </w:pPr>
            <w:r>
              <w:rPr>
                <w:rFonts w:hint="default" w:ascii="Times New Roman" w:hAnsi="Times New Roman" w:cs="Times New Roman"/>
                <w:spacing w:val="-2"/>
              </w:rPr>
              <w:t>单位</w:t>
            </w:r>
          </w:p>
        </w:tc>
        <w:tc>
          <w:tcPr>
            <w:tcW w:w="804" w:type="pct"/>
            <w:shd w:val="clear" w:color="auto" w:fill="auto"/>
            <w:vAlign w:val="center"/>
          </w:tcPr>
          <w:p w14:paraId="24AAE74B">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1340" w:type="pct"/>
            <w:shd w:val="clear" w:color="auto" w:fill="auto"/>
            <w:vAlign w:val="center"/>
          </w:tcPr>
          <w:p w14:paraId="4B77EA42">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45E46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963" w:type="pct"/>
            <w:shd w:val="clear" w:color="auto" w:fill="auto"/>
            <w:vAlign w:val="center"/>
          </w:tcPr>
          <w:p w14:paraId="318AE4EB">
            <w:pPr>
              <w:pStyle w:val="192"/>
              <w:rPr>
                <w:rFonts w:hint="default" w:ascii="Times New Roman" w:hAnsi="Times New Roman" w:cs="Times New Roman"/>
                <w:spacing w:val="-2"/>
              </w:rPr>
            </w:pPr>
            <w:r>
              <w:rPr>
                <w:rFonts w:hint="default" w:ascii="Times New Roman" w:hAnsi="Times New Roman" w:cs="Times New Roman"/>
                <w:spacing w:val="-2"/>
              </w:rPr>
              <w:t>针入度（25℃，100g，5s）</w:t>
            </w:r>
          </w:p>
        </w:tc>
        <w:tc>
          <w:tcPr>
            <w:tcW w:w="893" w:type="pct"/>
            <w:shd w:val="clear" w:color="auto" w:fill="auto"/>
            <w:vAlign w:val="center"/>
          </w:tcPr>
          <w:p w14:paraId="387CD58D">
            <w:pPr>
              <w:pStyle w:val="192"/>
              <w:rPr>
                <w:rFonts w:hint="default" w:ascii="Times New Roman" w:hAnsi="Times New Roman" w:cs="Times New Roman"/>
                <w:spacing w:val="-2"/>
              </w:rPr>
            </w:pPr>
            <w:r>
              <w:rPr>
                <w:rFonts w:hint="default" w:ascii="Times New Roman" w:hAnsi="Times New Roman" w:cs="Times New Roman"/>
                <w:spacing w:val="-2"/>
              </w:rPr>
              <w:t>0.1mm</w:t>
            </w:r>
          </w:p>
        </w:tc>
        <w:tc>
          <w:tcPr>
            <w:tcW w:w="804" w:type="pct"/>
            <w:shd w:val="clear" w:color="auto" w:fill="auto"/>
            <w:vAlign w:val="center"/>
          </w:tcPr>
          <w:p w14:paraId="28195552">
            <w:pPr>
              <w:pStyle w:val="192"/>
              <w:rPr>
                <w:rFonts w:hint="default" w:ascii="Times New Roman" w:hAnsi="Times New Roman" w:cs="Times New Roman"/>
                <w:spacing w:val="-2"/>
              </w:rPr>
            </w:pPr>
            <w:r>
              <w:rPr>
                <w:rFonts w:hint="default" w:ascii="Times New Roman" w:hAnsi="Times New Roman" w:cs="Times New Roman"/>
                <w:spacing w:val="-2"/>
              </w:rPr>
              <w:t>40~70</w:t>
            </w:r>
          </w:p>
        </w:tc>
        <w:tc>
          <w:tcPr>
            <w:tcW w:w="1340" w:type="pct"/>
            <w:shd w:val="clear" w:color="auto" w:fill="auto"/>
            <w:vAlign w:val="center"/>
          </w:tcPr>
          <w:p w14:paraId="6EEAEF1F">
            <w:pPr>
              <w:pStyle w:val="192"/>
              <w:rPr>
                <w:rFonts w:hint="default" w:ascii="Times New Roman" w:hAnsi="Times New Roman" w:cs="Times New Roman"/>
                <w:spacing w:val="-2"/>
              </w:rPr>
            </w:pPr>
            <w:r>
              <w:rPr>
                <w:rFonts w:hint="default" w:ascii="Times New Roman" w:hAnsi="Times New Roman" w:cs="Times New Roman"/>
                <w:spacing w:val="-2"/>
              </w:rPr>
              <w:t>T 0604</w:t>
            </w:r>
          </w:p>
        </w:tc>
      </w:tr>
      <w:tr w14:paraId="328BB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963" w:type="pct"/>
            <w:shd w:val="clear" w:color="auto" w:fill="auto"/>
            <w:vAlign w:val="center"/>
          </w:tcPr>
          <w:p w14:paraId="66F455BD">
            <w:pPr>
              <w:pStyle w:val="192"/>
              <w:rPr>
                <w:rFonts w:hint="default" w:ascii="Times New Roman" w:hAnsi="Times New Roman" w:cs="Times New Roman"/>
                <w:spacing w:val="-2"/>
              </w:rPr>
            </w:pPr>
            <w:r>
              <w:rPr>
                <w:rFonts w:hint="default" w:ascii="Times New Roman" w:hAnsi="Times New Roman" w:cs="Times New Roman"/>
                <w:spacing w:val="-2"/>
              </w:rPr>
              <w:t>软化点（T</w:t>
            </w:r>
            <w:r>
              <w:rPr>
                <w:rFonts w:hint="default" w:ascii="Times New Roman" w:hAnsi="Times New Roman" w:cs="Times New Roman"/>
                <w:spacing w:val="-2"/>
                <w:vertAlign w:val="subscript"/>
              </w:rPr>
              <w:t>R&amp;B</w:t>
            </w:r>
            <w:r>
              <w:rPr>
                <w:rFonts w:hint="default" w:ascii="Times New Roman" w:hAnsi="Times New Roman" w:cs="Times New Roman"/>
                <w:spacing w:val="-2"/>
              </w:rPr>
              <w:t>）</w:t>
            </w:r>
          </w:p>
        </w:tc>
        <w:tc>
          <w:tcPr>
            <w:tcW w:w="893" w:type="pct"/>
            <w:shd w:val="clear" w:color="auto" w:fill="auto"/>
            <w:vAlign w:val="center"/>
          </w:tcPr>
          <w:p w14:paraId="468A106C">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804" w:type="pct"/>
            <w:shd w:val="clear" w:color="auto" w:fill="auto"/>
            <w:vAlign w:val="center"/>
          </w:tcPr>
          <w:p w14:paraId="39A4D421">
            <w:pPr>
              <w:pStyle w:val="192"/>
              <w:rPr>
                <w:rFonts w:hint="default" w:ascii="Times New Roman" w:hAnsi="Times New Roman" w:cs="Times New Roman"/>
                <w:spacing w:val="-2"/>
              </w:rPr>
            </w:pPr>
            <w:r>
              <w:rPr>
                <w:rFonts w:hint="default" w:ascii="Times New Roman" w:hAnsi="Times New Roman" w:cs="Times New Roman"/>
                <w:spacing w:val="-2"/>
              </w:rPr>
              <w:t>≥85</w:t>
            </w:r>
          </w:p>
        </w:tc>
        <w:tc>
          <w:tcPr>
            <w:tcW w:w="1340" w:type="pct"/>
            <w:shd w:val="clear" w:color="auto" w:fill="auto"/>
            <w:vAlign w:val="center"/>
          </w:tcPr>
          <w:p w14:paraId="036AC81D">
            <w:pPr>
              <w:pStyle w:val="192"/>
              <w:rPr>
                <w:rFonts w:hint="default" w:ascii="Times New Roman" w:hAnsi="Times New Roman" w:cs="Times New Roman"/>
                <w:spacing w:val="-2"/>
              </w:rPr>
            </w:pPr>
            <w:r>
              <w:rPr>
                <w:rFonts w:hint="default" w:ascii="Times New Roman" w:hAnsi="Times New Roman" w:cs="Times New Roman"/>
                <w:spacing w:val="-2"/>
              </w:rPr>
              <w:t>T 0606</w:t>
            </w:r>
          </w:p>
        </w:tc>
      </w:tr>
      <w:tr w14:paraId="2DE84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34F8A397">
            <w:pPr>
              <w:pStyle w:val="192"/>
              <w:rPr>
                <w:rFonts w:hint="default" w:ascii="Times New Roman" w:hAnsi="Times New Roman" w:cs="Times New Roman"/>
                <w:spacing w:val="-2"/>
              </w:rPr>
            </w:pPr>
            <w:r>
              <w:rPr>
                <w:rFonts w:hint="default" w:ascii="Times New Roman" w:hAnsi="Times New Roman" w:cs="Times New Roman"/>
                <w:spacing w:val="-2"/>
              </w:rPr>
              <w:t>延度（5℃，5cm/min）</w:t>
            </w:r>
          </w:p>
        </w:tc>
        <w:tc>
          <w:tcPr>
            <w:tcW w:w="893" w:type="pct"/>
            <w:shd w:val="clear" w:color="auto" w:fill="auto"/>
            <w:vAlign w:val="center"/>
          </w:tcPr>
          <w:p w14:paraId="41A8A5DB">
            <w:pPr>
              <w:pStyle w:val="192"/>
              <w:rPr>
                <w:rFonts w:hint="default" w:ascii="Times New Roman" w:hAnsi="Times New Roman" w:cs="Times New Roman"/>
                <w:spacing w:val="-2"/>
              </w:rPr>
            </w:pPr>
            <w:r>
              <w:rPr>
                <w:rFonts w:hint="default" w:ascii="Times New Roman" w:hAnsi="Times New Roman" w:cs="Times New Roman"/>
                <w:spacing w:val="-2"/>
              </w:rPr>
              <w:t>cm</w:t>
            </w:r>
          </w:p>
        </w:tc>
        <w:tc>
          <w:tcPr>
            <w:tcW w:w="804" w:type="pct"/>
            <w:shd w:val="clear" w:color="auto" w:fill="auto"/>
            <w:vAlign w:val="center"/>
          </w:tcPr>
          <w:p w14:paraId="7DEF9FC4">
            <w:pPr>
              <w:pStyle w:val="192"/>
              <w:rPr>
                <w:rFonts w:hint="default" w:ascii="Times New Roman" w:hAnsi="Times New Roman" w:cs="Times New Roman"/>
                <w:spacing w:val="-2"/>
              </w:rPr>
            </w:pPr>
            <w:r>
              <w:rPr>
                <w:rFonts w:hint="default" w:ascii="Times New Roman" w:hAnsi="Times New Roman" w:cs="Times New Roman"/>
                <w:spacing w:val="-2"/>
              </w:rPr>
              <w:t>≥40</w:t>
            </w:r>
          </w:p>
        </w:tc>
        <w:tc>
          <w:tcPr>
            <w:tcW w:w="1340" w:type="pct"/>
            <w:shd w:val="clear" w:color="auto" w:fill="auto"/>
            <w:vAlign w:val="center"/>
          </w:tcPr>
          <w:p w14:paraId="6CD120E8">
            <w:pPr>
              <w:pStyle w:val="192"/>
              <w:rPr>
                <w:rFonts w:hint="default" w:ascii="Times New Roman" w:hAnsi="Times New Roman" w:cs="Times New Roman"/>
                <w:spacing w:val="-2"/>
              </w:rPr>
            </w:pPr>
            <w:r>
              <w:rPr>
                <w:rFonts w:hint="default" w:ascii="Times New Roman" w:hAnsi="Times New Roman" w:cs="Times New Roman"/>
                <w:spacing w:val="-2"/>
              </w:rPr>
              <w:t>T 0605</w:t>
            </w:r>
          </w:p>
        </w:tc>
      </w:tr>
      <w:tr w14:paraId="29A3F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4289F2AA">
            <w:pPr>
              <w:pStyle w:val="192"/>
              <w:rPr>
                <w:rFonts w:hint="default" w:ascii="Times New Roman" w:hAnsi="Times New Roman" w:cs="Times New Roman"/>
                <w:spacing w:val="-2"/>
              </w:rPr>
            </w:pPr>
            <w:r>
              <w:rPr>
                <w:rFonts w:hint="default" w:ascii="Times New Roman" w:hAnsi="Times New Roman" w:cs="Times New Roman"/>
                <w:spacing w:val="-2"/>
              </w:rPr>
              <w:t>60℃动力黏度</w:t>
            </w:r>
          </w:p>
        </w:tc>
        <w:tc>
          <w:tcPr>
            <w:tcW w:w="893" w:type="pct"/>
            <w:shd w:val="clear" w:color="auto" w:fill="auto"/>
            <w:vAlign w:val="center"/>
          </w:tcPr>
          <w:p w14:paraId="412F2D56">
            <w:pPr>
              <w:pStyle w:val="192"/>
              <w:rPr>
                <w:rFonts w:hint="default" w:ascii="Times New Roman" w:hAnsi="Times New Roman" w:cs="Times New Roman"/>
                <w:spacing w:val="-2"/>
              </w:rPr>
            </w:pPr>
            <w:r>
              <w:rPr>
                <w:rFonts w:hint="default" w:ascii="Times New Roman" w:hAnsi="Times New Roman" w:cs="Times New Roman"/>
                <w:spacing w:val="-2"/>
              </w:rPr>
              <w:t>Pa·s</w:t>
            </w:r>
          </w:p>
        </w:tc>
        <w:tc>
          <w:tcPr>
            <w:tcW w:w="804" w:type="pct"/>
            <w:shd w:val="clear" w:color="auto" w:fill="auto"/>
            <w:vAlign w:val="center"/>
          </w:tcPr>
          <w:p w14:paraId="49EB2451">
            <w:pPr>
              <w:pStyle w:val="192"/>
              <w:rPr>
                <w:rFonts w:hint="default" w:ascii="Times New Roman" w:hAnsi="Times New Roman" w:cs="Times New Roman"/>
                <w:spacing w:val="-2"/>
              </w:rPr>
            </w:pPr>
            <w:r>
              <w:rPr>
                <w:rFonts w:hint="default" w:ascii="Times New Roman" w:hAnsi="Times New Roman" w:cs="Times New Roman"/>
                <w:spacing w:val="-2"/>
              </w:rPr>
              <w:t>≥200000</w:t>
            </w:r>
          </w:p>
        </w:tc>
        <w:tc>
          <w:tcPr>
            <w:tcW w:w="1340" w:type="pct"/>
            <w:shd w:val="clear" w:color="auto" w:fill="auto"/>
            <w:vAlign w:val="center"/>
          </w:tcPr>
          <w:p w14:paraId="5CDD1CBA">
            <w:pPr>
              <w:pStyle w:val="192"/>
              <w:rPr>
                <w:rFonts w:hint="default" w:ascii="Times New Roman" w:hAnsi="Times New Roman" w:cs="Times New Roman"/>
                <w:spacing w:val="-2"/>
              </w:rPr>
            </w:pPr>
            <w:r>
              <w:rPr>
                <w:rFonts w:hint="default" w:ascii="Times New Roman" w:hAnsi="Times New Roman" w:cs="Times New Roman"/>
                <w:spacing w:val="-2"/>
              </w:rPr>
              <w:t>T 0620</w:t>
            </w:r>
          </w:p>
        </w:tc>
      </w:tr>
      <w:tr w14:paraId="132BC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963" w:type="pct"/>
            <w:shd w:val="clear" w:color="auto" w:fill="auto"/>
            <w:vAlign w:val="center"/>
          </w:tcPr>
          <w:p w14:paraId="12F7988A">
            <w:pPr>
              <w:pStyle w:val="192"/>
              <w:rPr>
                <w:rFonts w:hint="default" w:ascii="Times New Roman" w:hAnsi="Times New Roman" w:cs="Times New Roman"/>
                <w:spacing w:val="-2"/>
              </w:rPr>
            </w:pPr>
            <w:r>
              <w:rPr>
                <w:rFonts w:hint="default" w:ascii="Times New Roman" w:hAnsi="Times New Roman" w:cs="Times New Roman"/>
                <w:spacing w:val="-2"/>
              </w:rPr>
              <w:t>165℃运动黏度</w:t>
            </w:r>
          </w:p>
        </w:tc>
        <w:tc>
          <w:tcPr>
            <w:tcW w:w="893" w:type="pct"/>
            <w:shd w:val="clear" w:color="auto" w:fill="auto"/>
            <w:vAlign w:val="center"/>
          </w:tcPr>
          <w:p w14:paraId="3FA3A0F4">
            <w:pPr>
              <w:pStyle w:val="192"/>
              <w:rPr>
                <w:rFonts w:hint="default" w:ascii="Times New Roman" w:hAnsi="Times New Roman" w:cs="Times New Roman"/>
                <w:spacing w:val="-2"/>
              </w:rPr>
            </w:pPr>
            <w:r>
              <w:rPr>
                <w:rFonts w:hint="default" w:ascii="Times New Roman" w:hAnsi="Times New Roman" w:cs="Times New Roman"/>
                <w:spacing w:val="-2"/>
              </w:rPr>
              <w:t>Pa·s</w:t>
            </w:r>
          </w:p>
        </w:tc>
        <w:tc>
          <w:tcPr>
            <w:tcW w:w="804" w:type="pct"/>
            <w:shd w:val="clear" w:color="auto" w:fill="auto"/>
            <w:vAlign w:val="center"/>
          </w:tcPr>
          <w:p w14:paraId="03627AAC">
            <w:pPr>
              <w:pStyle w:val="192"/>
              <w:rPr>
                <w:rFonts w:hint="default" w:ascii="Times New Roman" w:hAnsi="Times New Roman" w:cs="Times New Roman"/>
                <w:spacing w:val="-2"/>
              </w:rPr>
            </w:pPr>
            <w:r>
              <w:rPr>
                <w:rFonts w:hint="default" w:ascii="Times New Roman" w:hAnsi="Times New Roman" w:cs="Times New Roman"/>
                <w:spacing w:val="-2"/>
              </w:rPr>
              <w:t>≤3.0</w:t>
            </w:r>
          </w:p>
        </w:tc>
        <w:tc>
          <w:tcPr>
            <w:tcW w:w="1340" w:type="pct"/>
            <w:shd w:val="clear" w:color="auto" w:fill="auto"/>
            <w:vAlign w:val="center"/>
          </w:tcPr>
          <w:p w14:paraId="7408DDA4">
            <w:pPr>
              <w:pStyle w:val="192"/>
              <w:rPr>
                <w:rFonts w:hint="default" w:ascii="Times New Roman" w:hAnsi="Times New Roman" w:cs="Times New Roman"/>
                <w:spacing w:val="-2"/>
              </w:rPr>
            </w:pPr>
            <w:r>
              <w:rPr>
                <w:rFonts w:hint="default" w:ascii="Times New Roman" w:hAnsi="Times New Roman" w:cs="Times New Roman"/>
                <w:spacing w:val="-2"/>
              </w:rPr>
              <w:t>T 0625</w:t>
            </w:r>
          </w:p>
        </w:tc>
      </w:tr>
      <w:tr w14:paraId="2997A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963" w:type="pct"/>
            <w:shd w:val="clear" w:color="auto" w:fill="auto"/>
            <w:vAlign w:val="center"/>
          </w:tcPr>
          <w:p w14:paraId="12C4ED5F">
            <w:pPr>
              <w:pStyle w:val="192"/>
              <w:rPr>
                <w:rFonts w:hint="default" w:ascii="Times New Roman" w:hAnsi="Times New Roman" w:cs="Times New Roman"/>
                <w:spacing w:val="-2"/>
              </w:rPr>
            </w:pPr>
            <w:r>
              <w:rPr>
                <w:rFonts w:hint="default" w:ascii="Times New Roman" w:hAnsi="Times New Roman" w:cs="Times New Roman"/>
                <w:spacing w:val="-2"/>
              </w:rPr>
              <w:t>弹性恢复（25℃）</w:t>
            </w:r>
          </w:p>
        </w:tc>
        <w:tc>
          <w:tcPr>
            <w:tcW w:w="893" w:type="pct"/>
            <w:shd w:val="clear" w:color="auto" w:fill="auto"/>
            <w:vAlign w:val="center"/>
          </w:tcPr>
          <w:p w14:paraId="27D31700">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804" w:type="pct"/>
            <w:shd w:val="clear" w:color="auto" w:fill="auto"/>
            <w:vAlign w:val="center"/>
          </w:tcPr>
          <w:p w14:paraId="68262B65">
            <w:pPr>
              <w:pStyle w:val="192"/>
              <w:rPr>
                <w:rFonts w:hint="default" w:ascii="Times New Roman" w:hAnsi="Times New Roman" w:cs="Times New Roman"/>
                <w:spacing w:val="-2"/>
              </w:rPr>
            </w:pPr>
            <w:r>
              <w:rPr>
                <w:rFonts w:hint="default" w:ascii="Times New Roman" w:hAnsi="Times New Roman" w:cs="Times New Roman"/>
                <w:spacing w:val="-2"/>
              </w:rPr>
              <w:t>≥98</w:t>
            </w:r>
          </w:p>
        </w:tc>
        <w:tc>
          <w:tcPr>
            <w:tcW w:w="1340" w:type="pct"/>
            <w:shd w:val="clear" w:color="auto" w:fill="auto"/>
            <w:vAlign w:val="center"/>
          </w:tcPr>
          <w:p w14:paraId="1B5BBE13">
            <w:pPr>
              <w:pStyle w:val="192"/>
              <w:rPr>
                <w:rFonts w:hint="default" w:ascii="Times New Roman" w:hAnsi="Times New Roman" w:cs="Times New Roman"/>
                <w:spacing w:val="-2"/>
              </w:rPr>
            </w:pPr>
            <w:r>
              <w:rPr>
                <w:rFonts w:hint="default" w:ascii="Times New Roman" w:hAnsi="Times New Roman" w:cs="Times New Roman"/>
                <w:spacing w:val="-2"/>
              </w:rPr>
              <w:t>T 0662</w:t>
            </w:r>
          </w:p>
        </w:tc>
      </w:tr>
      <w:tr w14:paraId="1829B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39D9C240">
            <w:pPr>
              <w:pStyle w:val="192"/>
              <w:rPr>
                <w:rFonts w:hint="default" w:ascii="Times New Roman" w:hAnsi="Times New Roman" w:cs="Times New Roman"/>
                <w:spacing w:val="-2"/>
              </w:rPr>
            </w:pPr>
            <w:r>
              <w:rPr>
                <w:rFonts w:hint="default" w:ascii="Times New Roman" w:hAnsi="Times New Roman" w:cs="Times New Roman"/>
                <w:spacing w:val="-2"/>
              </w:rPr>
              <w:t>离析，48h软化点差*</w:t>
            </w:r>
          </w:p>
        </w:tc>
        <w:tc>
          <w:tcPr>
            <w:tcW w:w="893" w:type="pct"/>
            <w:shd w:val="clear" w:color="auto" w:fill="auto"/>
            <w:vAlign w:val="center"/>
          </w:tcPr>
          <w:p w14:paraId="71FDF2BB">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804" w:type="pct"/>
            <w:shd w:val="clear" w:color="auto" w:fill="auto"/>
            <w:vAlign w:val="center"/>
          </w:tcPr>
          <w:p w14:paraId="3655D5D6">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1340" w:type="pct"/>
            <w:shd w:val="clear" w:color="auto" w:fill="auto"/>
            <w:vAlign w:val="center"/>
          </w:tcPr>
          <w:p w14:paraId="15F94DC8">
            <w:pPr>
              <w:pStyle w:val="192"/>
              <w:rPr>
                <w:rFonts w:hint="default" w:ascii="Times New Roman" w:hAnsi="Times New Roman" w:cs="Times New Roman"/>
                <w:spacing w:val="-2"/>
              </w:rPr>
            </w:pPr>
            <w:r>
              <w:rPr>
                <w:rFonts w:hint="default" w:ascii="Times New Roman" w:hAnsi="Times New Roman" w:cs="Times New Roman"/>
                <w:spacing w:val="-2"/>
              </w:rPr>
              <w:t>T 0661</w:t>
            </w:r>
          </w:p>
        </w:tc>
      </w:tr>
      <w:tr w14:paraId="57742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0" w:type="pct"/>
            <w:gridSpan w:val="4"/>
            <w:shd w:val="clear" w:color="auto" w:fill="auto"/>
            <w:vAlign w:val="center"/>
          </w:tcPr>
          <w:p w14:paraId="14AD4D1E">
            <w:pPr>
              <w:pStyle w:val="192"/>
              <w:rPr>
                <w:rFonts w:hint="default" w:ascii="Times New Roman" w:hAnsi="Times New Roman" w:cs="Times New Roman"/>
                <w:spacing w:val="-2"/>
              </w:rPr>
            </w:pPr>
            <w:r>
              <w:rPr>
                <w:rFonts w:hint="default" w:ascii="Times New Roman" w:hAnsi="Times New Roman" w:cs="Times New Roman"/>
                <w:spacing w:val="-2"/>
              </w:rPr>
              <w:t>RTFOT 后残留物</w:t>
            </w:r>
          </w:p>
        </w:tc>
      </w:tr>
      <w:tr w14:paraId="490D0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1DD93D40">
            <w:pPr>
              <w:pStyle w:val="192"/>
              <w:rPr>
                <w:rFonts w:hint="default" w:ascii="Times New Roman" w:hAnsi="Times New Roman" w:cs="Times New Roman"/>
                <w:spacing w:val="-2"/>
              </w:rPr>
            </w:pPr>
            <w:r>
              <w:rPr>
                <w:rFonts w:hint="default" w:ascii="Times New Roman" w:hAnsi="Times New Roman" w:cs="Times New Roman"/>
                <w:spacing w:val="-2"/>
              </w:rPr>
              <w:t>质量变化</w:t>
            </w:r>
          </w:p>
        </w:tc>
        <w:tc>
          <w:tcPr>
            <w:tcW w:w="893" w:type="pct"/>
            <w:shd w:val="clear" w:color="auto" w:fill="auto"/>
            <w:vAlign w:val="center"/>
          </w:tcPr>
          <w:p w14:paraId="320F7573">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804" w:type="pct"/>
            <w:shd w:val="clear" w:color="auto" w:fill="auto"/>
            <w:vAlign w:val="center"/>
          </w:tcPr>
          <w:p w14:paraId="16199545">
            <w:pPr>
              <w:pStyle w:val="192"/>
              <w:rPr>
                <w:rFonts w:hint="default" w:ascii="Times New Roman" w:hAnsi="Times New Roman" w:cs="Times New Roman"/>
                <w:spacing w:val="-2"/>
              </w:rPr>
            </w:pPr>
            <w:r>
              <w:rPr>
                <w:rFonts w:hint="default" w:ascii="Times New Roman" w:hAnsi="Times New Roman" w:cs="Times New Roman"/>
                <w:spacing w:val="-2"/>
              </w:rPr>
              <w:t>±0.5</w:t>
            </w:r>
          </w:p>
        </w:tc>
        <w:tc>
          <w:tcPr>
            <w:tcW w:w="1340" w:type="pct"/>
            <w:shd w:val="clear" w:color="auto" w:fill="auto"/>
            <w:vAlign w:val="center"/>
          </w:tcPr>
          <w:p w14:paraId="6E803F65">
            <w:pPr>
              <w:pStyle w:val="192"/>
              <w:rPr>
                <w:rFonts w:hint="default" w:ascii="Times New Roman" w:hAnsi="Times New Roman" w:cs="Times New Roman"/>
                <w:spacing w:val="-2"/>
              </w:rPr>
            </w:pPr>
            <w:r>
              <w:rPr>
                <w:rFonts w:hint="default" w:ascii="Times New Roman" w:hAnsi="Times New Roman" w:cs="Times New Roman"/>
                <w:spacing w:val="-2"/>
              </w:rPr>
              <w:t>T 0609</w:t>
            </w:r>
          </w:p>
        </w:tc>
      </w:tr>
      <w:tr w14:paraId="6C0DD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1334F91D">
            <w:pPr>
              <w:pStyle w:val="192"/>
              <w:rPr>
                <w:rFonts w:hint="default" w:ascii="Times New Roman" w:hAnsi="Times New Roman" w:cs="Times New Roman"/>
                <w:spacing w:val="-2"/>
              </w:rPr>
            </w:pPr>
            <w:r>
              <w:rPr>
                <w:rFonts w:hint="default" w:ascii="Times New Roman" w:hAnsi="Times New Roman" w:cs="Times New Roman"/>
                <w:spacing w:val="-2"/>
              </w:rPr>
              <w:t>针入度比（25℃）</w:t>
            </w:r>
          </w:p>
        </w:tc>
        <w:tc>
          <w:tcPr>
            <w:tcW w:w="893" w:type="pct"/>
            <w:shd w:val="clear" w:color="auto" w:fill="auto"/>
            <w:vAlign w:val="center"/>
          </w:tcPr>
          <w:p w14:paraId="724592EA">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804" w:type="pct"/>
            <w:shd w:val="clear" w:color="auto" w:fill="auto"/>
            <w:vAlign w:val="center"/>
          </w:tcPr>
          <w:p w14:paraId="722222DA">
            <w:pPr>
              <w:pStyle w:val="192"/>
              <w:rPr>
                <w:rFonts w:hint="default" w:ascii="Times New Roman" w:hAnsi="Times New Roman" w:cs="Times New Roman"/>
                <w:spacing w:val="-2"/>
              </w:rPr>
            </w:pPr>
            <w:r>
              <w:rPr>
                <w:rFonts w:hint="default" w:ascii="Times New Roman" w:hAnsi="Times New Roman" w:cs="Times New Roman"/>
                <w:spacing w:val="-2"/>
              </w:rPr>
              <w:t>≥75</w:t>
            </w:r>
          </w:p>
        </w:tc>
        <w:tc>
          <w:tcPr>
            <w:tcW w:w="1340" w:type="pct"/>
            <w:shd w:val="clear" w:color="auto" w:fill="auto"/>
            <w:vAlign w:val="center"/>
          </w:tcPr>
          <w:p w14:paraId="229FEB2D">
            <w:pPr>
              <w:pStyle w:val="192"/>
              <w:rPr>
                <w:rFonts w:hint="default" w:ascii="Times New Roman" w:hAnsi="Times New Roman" w:cs="Times New Roman"/>
                <w:spacing w:val="-2"/>
              </w:rPr>
            </w:pPr>
            <w:r>
              <w:rPr>
                <w:rFonts w:hint="default" w:ascii="Times New Roman" w:hAnsi="Times New Roman" w:cs="Times New Roman"/>
                <w:spacing w:val="-2"/>
              </w:rPr>
              <w:t>T 0604</w:t>
            </w:r>
          </w:p>
        </w:tc>
      </w:tr>
      <w:tr w14:paraId="29DBF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963" w:type="pct"/>
            <w:shd w:val="clear" w:color="auto" w:fill="auto"/>
            <w:vAlign w:val="center"/>
          </w:tcPr>
          <w:p w14:paraId="6A4D3219">
            <w:pPr>
              <w:pStyle w:val="192"/>
              <w:rPr>
                <w:rFonts w:hint="default" w:ascii="Times New Roman" w:hAnsi="Times New Roman" w:cs="Times New Roman"/>
                <w:spacing w:val="-2"/>
              </w:rPr>
            </w:pPr>
            <w:r>
              <w:rPr>
                <w:rFonts w:hint="default" w:ascii="Times New Roman" w:hAnsi="Times New Roman" w:cs="Times New Roman"/>
                <w:spacing w:val="-2"/>
              </w:rPr>
              <w:t>延度（5℃，5cm/min）</w:t>
            </w:r>
          </w:p>
        </w:tc>
        <w:tc>
          <w:tcPr>
            <w:tcW w:w="893" w:type="pct"/>
            <w:shd w:val="clear" w:color="auto" w:fill="auto"/>
            <w:vAlign w:val="center"/>
          </w:tcPr>
          <w:p w14:paraId="2E87C984">
            <w:pPr>
              <w:pStyle w:val="192"/>
              <w:rPr>
                <w:rFonts w:hint="default" w:ascii="Times New Roman" w:hAnsi="Times New Roman" w:cs="Times New Roman"/>
                <w:spacing w:val="-2"/>
              </w:rPr>
            </w:pPr>
            <w:r>
              <w:rPr>
                <w:rFonts w:hint="default" w:ascii="Times New Roman" w:hAnsi="Times New Roman" w:cs="Times New Roman"/>
                <w:spacing w:val="-2"/>
              </w:rPr>
              <w:t>cm</w:t>
            </w:r>
          </w:p>
        </w:tc>
        <w:tc>
          <w:tcPr>
            <w:tcW w:w="804" w:type="pct"/>
            <w:shd w:val="clear" w:color="auto" w:fill="auto"/>
            <w:vAlign w:val="center"/>
          </w:tcPr>
          <w:p w14:paraId="2A4A9E07">
            <w:pPr>
              <w:pStyle w:val="192"/>
              <w:rPr>
                <w:rFonts w:hint="default" w:ascii="Times New Roman" w:hAnsi="Times New Roman" w:cs="Times New Roman"/>
                <w:spacing w:val="-2"/>
              </w:rPr>
            </w:pPr>
            <w:r>
              <w:rPr>
                <w:rFonts w:hint="default" w:ascii="Times New Roman" w:hAnsi="Times New Roman" w:cs="Times New Roman"/>
                <w:spacing w:val="-2"/>
              </w:rPr>
              <w:t>≥30</w:t>
            </w:r>
          </w:p>
        </w:tc>
        <w:tc>
          <w:tcPr>
            <w:tcW w:w="1340" w:type="pct"/>
            <w:shd w:val="clear" w:color="auto" w:fill="auto"/>
            <w:vAlign w:val="center"/>
          </w:tcPr>
          <w:p w14:paraId="0B9D3A8D">
            <w:pPr>
              <w:pStyle w:val="192"/>
              <w:rPr>
                <w:rFonts w:hint="default" w:ascii="Times New Roman" w:hAnsi="Times New Roman" w:cs="Times New Roman"/>
                <w:spacing w:val="-2"/>
              </w:rPr>
            </w:pPr>
            <w:r>
              <w:rPr>
                <w:rFonts w:hint="default" w:ascii="Times New Roman" w:hAnsi="Times New Roman" w:cs="Times New Roman"/>
                <w:spacing w:val="-2"/>
              </w:rPr>
              <w:t>T 0605</w:t>
            </w:r>
          </w:p>
        </w:tc>
      </w:tr>
      <w:bookmarkEnd w:id="35"/>
    </w:tbl>
    <w:p w14:paraId="76B4EC56">
      <w:pPr>
        <w:ind w:firstLine="482" w:firstLineChars="200"/>
        <w:rPr>
          <w:rFonts w:hint="default" w:ascii="Times New Roman" w:hAnsi="Times New Roman" w:eastAsia="楷体" w:cs="Times New Roman"/>
          <w:b/>
          <w:bCs/>
          <w:sz w:val="24"/>
        </w:rPr>
      </w:pPr>
      <w:bookmarkStart w:id="36" w:name="_Toc179636658"/>
      <w:r>
        <w:rPr>
          <w:rFonts w:hint="default" w:ascii="Times New Roman" w:hAnsi="Times New Roman" w:eastAsia="楷体" w:cs="Times New Roman"/>
          <w:b/>
          <w:bCs/>
          <w:sz w:val="24"/>
        </w:rPr>
        <w:t>条文说明</w:t>
      </w:r>
    </w:p>
    <w:p w14:paraId="4764CCC8">
      <w:pPr>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JTG F40中规定SBS改性沥青的贮存稳定性：离析，48h软化点差不大于2.5℃，其代表的改性沥青为SBS掺量一般为4%左右的普通改性沥青。随着沥青改性技术的发展，高掺量SBS改性沥青技术逐渐成熟。对于SBS掺量达到7.5%的成品高粘改性沥青，其发生离析时测得的离析指标（48h软化点差）约为30℃，远超JTG F40中对普通SBS改性沥青贮存稳定性要求。本指南中的高延弹改性沥青性能指标与高粘改性沥青相近乃至更高，建议离析指标（48h软化点差）控制要求为不大于10℃，同时大量工程实践表明，离析（48h软化点差）在10℃以内时不影响混合料拌和质量。</w:t>
      </w:r>
    </w:p>
    <w:p w14:paraId="57B4A0F3">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37" w:name="_Toc27169"/>
      <w:r>
        <w:rPr>
          <w:rFonts w:hint="default" w:ascii="Times New Roman" w:hAnsi="Times New Roman" w:cs="Times New Roman"/>
          <w:sz w:val="24"/>
        </w:rPr>
        <w:t>高黏度改性乳化沥青</w:t>
      </w:r>
      <w:bookmarkEnd w:id="36"/>
      <w:r>
        <w:rPr>
          <w:rFonts w:hint="default" w:ascii="Times New Roman" w:hAnsi="Times New Roman" w:cs="Times New Roman"/>
          <w:sz w:val="24"/>
        </w:rPr>
        <w:t>黏层材料</w:t>
      </w:r>
      <w:bookmarkEnd w:id="37"/>
    </w:p>
    <w:p w14:paraId="28C935CD">
      <w:pPr>
        <w:numPr>
          <w:ilvl w:val="2"/>
          <w:numId w:val="17"/>
        </w:numPr>
        <w:spacing w:line="360" w:lineRule="auto"/>
        <w:ind w:left="0" w:firstLine="426"/>
        <w:rPr>
          <w:rFonts w:hint="default" w:ascii="Times New Roman" w:hAnsi="Times New Roman" w:cs="Times New Roman"/>
          <w:kern w:val="0"/>
          <w:sz w:val="24"/>
          <w:szCs w:val="20"/>
        </w:rPr>
      </w:pPr>
      <w:r>
        <w:rPr>
          <w:rFonts w:hint="default" w:ascii="Times New Roman" w:hAnsi="Times New Roman" w:cs="Times New Roman"/>
          <w:kern w:val="0"/>
          <w:sz w:val="24"/>
        </w:rPr>
        <w:t>高黏度改性乳化沥青黏层材料应</w:t>
      </w:r>
      <w:r>
        <w:rPr>
          <w:rFonts w:hint="default" w:ascii="Times New Roman" w:hAnsi="Times New Roman" w:cs="Times New Roman"/>
          <w:kern w:val="0"/>
          <w:sz w:val="24"/>
          <w:szCs w:val="20"/>
        </w:rPr>
        <w:t xml:space="preserve">符合表5.3.1的规定。 </w:t>
      </w:r>
    </w:p>
    <w:p w14:paraId="4A21BD5B">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表5.3.1</w:t>
      </w:r>
      <w:r>
        <w:rPr>
          <w:rFonts w:hint="default" w:ascii="Times New Roman" w:hAnsi="Times New Roman" w:eastAsia="黑体" w:cs="Times New Roman"/>
          <w:sz w:val="21"/>
          <w:szCs w:val="21"/>
        </w:rPr>
        <w:tab/>
      </w:r>
      <w:r>
        <w:rPr>
          <w:rFonts w:hint="default" w:ascii="Times New Roman" w:hAnsi="Times New Roman" w:eastAsia="黑体" w:cs="Times New Roman"/>
          <w:sz w:val="21"/>
          <w:szCs w:val="21"/>
        </w:rPr>
        <w:t>高黏度改性乳化沥青黏层材料技术指标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03"/>
        <w:gridCol w:w="2961"/>
        <w:gridCol w:w="2693"/>
        <w:gridCol w:w="1079"/>
      </w:tblGrid>
      <w:tr w14:paraId="3DE08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2738" w:type="pct"/>
            <w:gridSpan w:val="2"/>
            <w:shd w:val="clear" w:color="auto" w:fill="auto"/>
            <w:vAlign w:val="center"/>
          </w:tcPr>
          <w:p w14:paraId="0B6A3BA1">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1615" w:type="pct"/>
            <w:shd w:val="clear" w:color="auto" w:fill="auto"/>
            <w:vAlign w:val="center"/>
          </w:tcPr>
          <w:p w14:paraId="057E54BA">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647" w:type="pct"/>
            <w:shd w:val="clear" w:color="auto" w:fill="auto"/>
            <w:vAlign w:val="center"/>
          </w:tcPr>
          <w:p w14:paraId="5A8510C0">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5C192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738" w:type="pct"/>
            <w:gridSpan w:val="2"/>
            <w:shd w:val="clear" w:color="auto" w:fill="auto"/>
            <w:vAlign w:val="center"/>
          </w:tcPr>
          <w:p w14:paraId="6930C27A">
            <w:pPr>
              <w:pStyle w:val="192"/>
              <w:rPr>
                <w:rFonts w:hint="default" w:ascii="Times New Roman" w:hAnsi="Times New Roman" w:cs="Times New Roman"/>
                <w:spacing w:val="-2"/>
              </w:rPr>
            </w:pPr>
            <w:r>
              <w:rPr>
                <w:rFonts w:hint="default" w:ascii="Times New Roman" w:hAnsi="Times New Roman" w:cs="Times New Roman"/>
                <w:spacing w:val="-2"/>
              </w:rPr>
              <w:t>破乳速度</w:t>
            </w:r>
          </w:p>
        </w:tc>
        <w:tc>
          <w:tcPr>
            <w:tcW w:w="1615" w:type="pct"/>
            <w:shd w:val="clear" w:color="auto" w:fill="auto"/>
            <w:vAlign w:val="center"/>
          </w:tcPr>
          <w:p w14:paraId="0EA1BDCE">
            <w:pPr>
              <w:pStyle w:val="192"/>
              <w:rPr>
                <w:rFonts w:hint="default" w:ascii="Times New Roman" w:hAnsi="Times New Roman" w:cs="Times New Roman"/>
                <w:spacing w:val="-2"/>
              </w:rPr>
            </w:pPr>
            <w:r>
              <w:rPr>
                <w:rFonts w:hint="default" w:ascii="Times New Roman" w:hAnsi="Times New Roman" w:cs="Times New Roman"/>
                <w:spacing w:val="-2"/>
              </w:rPr>
              <w:t>快裂</w:t>
            </w:r>
          </w:p>
        </w:tc>
        <w:tc>
          <w:tcPr>
            <w:tcW w:w="647" w:type="pct"/>
            <w:shd w:val="clear" w:color="auto" w:fill="auto"/>
            <w:vAlign w:val="center"/>
          </w:tcPr>
          <w:p w14:paraId="6DFB487F">
            <w:pPr>
              <w:pStyle w:val="192"/>
              <w:rPr>
                <w:rFonts w:hint="default" w:ascii="Times New Roman" w:hAnsi="Times New Roman" w:cs="Times New Roman"/>
                <w:spacing w:val="-2"/>
              </w:rPr>
            </w:pPr>
            <w:r>
              <w:rPr>
                <w:rFonts w:hint="default" w:ascii="Times New Roman" w:hAnsi="Times New Roman" w:cs="Times New Roman"/>
                <w:spacing w:val="-2"/>
              </w:rPr>
              <w:t>T0658</w:t>
            </w:r>
          </w:p>
        </w:tc>
      </w:tr>
      <w:tr w14:paraId="1BC73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2738" w:type="pct"/>
            <w:gridSpan w:val="2"/>
            <w:shd w:val="clear" w:color="auto" w:fill="auto"/>
            <w:vAlign w:val="center"/>
          </w:tcPr>
          <w:p w14:paraId="4BF8FB98">
            <w:pPr>
              <w:pStyle w:val="192"/>
              <w:rPr>
                <w:rFonts w:hint="default" w:ascii="Times New Roman" w:hAnsi="Times New Roman" w:cs="Times New Roman"/>
                <w:spacing w:val="-2"/>
              </w:rPr>
            </w:pPr>
            <w:r>
              <w:rPr>
                <w:rFonts w:hint="default" w:ascii="Times New Roman" w:hAnsi="Times New Roman" w:cs="Times New Roman"/>
                <w:spacing w:val="-2"/>
              </w:rPr>
              <w:t>粒子电荷</w:t>
            </w:r>
          </w:p>
        </w:tc>
        <w:tc>
          <w:tcPr>
            <w:tcW w:w="1615" w:type="pct"/>
            <w:shd w:val="clear" w:color="auto" w:fill="auto"/>
            <w:vAlign w:val="center"/>
          </w:tcPr>
          <w:p w14:paraId="29D8C798">
            <w:pPr>
              <w:pStyle w:val="192"/>
              <w:rPr>
                <w:rFonts w:hint="default" w:ascii="Times New Roman" w:hAnsi="Times New Roman" w:cs="Times New Roman"/>
                <w:spacing w:val="-2"/>
              </w:rPr>
            </w:pPr>
            <w:r>
              <w:rPr>
                <w:rFonts w:hint="default" w:ascii="Times New Roman" w:hAnsi="Times New Roman" w:cs="Times New Roman"/>
                <w:spacing w:val="-2"/>
              </w:rPr>
              <w:t>阳离子（＋）</w:t>
            </w:r>
          </w:p>
        </w:tc>
        <w:tc>
          <w:tcPr>
            <w:tcW w:w="647" w:type="pct"/>
            <w:shd w:val="clear" w:color="auto" w:fill="auto"/>
            <w:vAlign w:val="center"/>
          </w:tcPr>
          <w:p w14:paraId="7C6DCFBB">
            <w:pPr>
              <w:pStyle w:val="192"/>
              <w:rPr>
                <w:rFonts w:hint="default" w:ascii="Times New Roman" w:hAnsi="Times New Roman" w:cs="Times New Roman"/>
                <w:spacing w:val="-2"/>
              </w:rPr>
            </w:pPr>
            <w:r>
              <w:rPr>
                <w:rFonts w:hint="default" w:ascii="Times New Roman" w:hAnsi="Times New Roman" w:cs="Times New Roman"/>
                <w:spacing w:val="-2"/>
              </w:rPr>
              <w:t>T0653</w:t>
            </w:r>
          </w:p>
        </w:tc>
      </w:tr>
      <w:tr w14:paraId="22ADB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2738" w:type="pct"/>
            <w:gridSpan w:val="2"/>
            <w:shd w:val="clear" w:color="auto" w:fill="auto"/>
            <w:vAlign w:val="center"/>
          </w:tcPr>
          <w:p w14:paraId="45A29CFB">
            <w:pPr>
              <w:pStyle w:val="192"/>
              <w:rPr>
                <w:rFonts w:hint="default" w:ascii="Times New Roman" w:hAnsi="Times New Roman" w:cs="Times New Roman"/>
                <w:spacing w:val="-2"/>
              </w:rPr>
            </w:pPr>
            <w:r>
              <w:rPr>
                <w:rFonts w:hint="default" w:ascii="Times New Roman" w:hAnsi="Times New Roman" w:cs="Times New Roman"/>
                <w:spacing w:val="-2"/>
              </w:rPr>
              <w:t>筛上剩余量 （1.18mm） （%）</w:t>
            </w:r>
          </w:p>
        </w:tc>
        <w:tc>
          <w:tcPr>
            <w:tcW w:w="1615" w:type="pct"/>
            <w:shd w:val="clear" w:color="auto" w:fill="auto"/>
            <w:vAlign w:val="center"/>
          </w:tcPr>
          <w:p w14:paraId="0A6D2340">
            <w:pPr>
              <w:pStyle w:val="192"/>
              <w:rPr>
                <w:rFonts w:hint="default" w:ascii="Times New Roman" w:hAnsi="Times New Roman" w:cs="Times New Roman"/>
                <w:spacing w:val="-2"/>
              </w:rPr>
            </w:pPr>
            <w:r>
              <w:rPr>
                <w:rFonts w:hint="default" w:ascii="Times New Roman" w:hAnsi="Times New Roman" w:cs="Times New Roman"/>
                <w:spacing w:val="-2"/>
              </w:rPr>
              <w:t>≤0.1</w:t>
            </w:r>
          </w:p>
        </w:tc>
        <w:tc>
          <w:tcPr>
            <w:tcW w:w="647" w:type="pct"/>
            <w:shd w:val="clear" w:color="auto" w:fill="auto"/>
            <w:vAlign w:val="center"/>
          </w:tcPr>
          <w:p w14:paraId="17EE0E77">
            <w:pPr>
              <w:pStyle w:val="192"/>
              <w:rPr>
                <w:rFonts w:hint="default" w:ascii="Times New Roman" w:hAnsi="Times New Roman" w:cs="Times New Roman"/>
                <w:spacing w:val="-2"/>
              </w:rPr>
            </w:pPr>
            <w:r>
              <w:rPr>
                <w:rFonts w:hint="default" w:ascii="Times New Roman" w:hAnsi="Times New Roman" w:cs="Times New Roman"/>
                <w:spacing w:val="-2"/>
              </w:rPr>
              <w:t>T0652</w:t>
            </w:r>
          </w:p>
        </w:tc>
      </w:tr>
      <w:tr w14:paraId="196EC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restart"/>
            <w:shd w:val="clear" w:color="auto" w:fill="auto"/>
            <w:vAlign w:val="center"/>
          </w:tcPr>
          <w:p w14:paraId="7D828B52">
            <w:pPr>
              <w:pStyle w:val="192"/>
              <w:rPr>
                <w:rFonts w:hint="default" w:ascii="Times New Roman" w:hAnsi="Times New Roman" w:cs="Times New Roman"/>
                <w:spacing w:val="-2"/>
              </w:rPr>
            </w:pPr>
            <w:r>
              <w:rPr>
                <w:rFonts w:hint="default" w:ascii="Times New Roman" w:hAnsi="Times New Roman" w:cs="Times New Roman"/>
                <w:spacing w:val="-2"/>
              </w:rPr>
              <w:t>黏度</w:t>
            </w:r>
          </w:p>
        </w:tc>
        <w:tc>
          <w:tcPr>
            <w:tcW w:w="1776" w:type="pct"/>
            <w:shd w:val="clear" w:color="auto" w:fill="auto"/>
            <w:vAlign w:val="center"/>
          </w:tcPr>
          <w:p w14:paraId="1427D6B5">
            <w:pPr>
              <w:pStyle w:val="192"/>
              <w:rPr>
                <w:rFonts w:hint="default" w:ascii="Times New Roman" w:hAnsi="Times New Roman" w:cs="Times New Roman"/>
                <w:spacing w:val="-2"/>
              </w:rPr>
            </w:pPr>
            <w:r>
              <w:rPr>
                <w:rFonts w:hint="default" w:ascii="Times New Roman" w:hAnsi="Times New Roman" w:cs="Times New Roman"/>
                <w:spacing w:val="-2"/>
              </w:rPr>
              <w:t>恩格拉黏度E</w:t>
            </w:r>
            <w:r>
              <w:rPr>
                <w:rFonts w:hint="default" w:ascii="Times New Roman" w:hAnsi="Times New Roman" w:cs="Times New Roman"/>
                <w:spacing w:val="-2"/>
                <w:vertAlign w:val="subscript"/>
              </w:rPr>
              <w:t>25</w:t>
            </w:r>
          </w:p>
        </w:tc>
        <w:tc>
          <w:tcPr>
            <w:tcW w:w="1615" w:type="pct"/>
            <w:shd w:val="clear" w:color="auto" w:fill="auto"/>
            <w:vAlign w:val="center"/>
          </w:tcPr>
          <w:p w14:paraId="5764926D">
            <w:pPr>
              <w:pStyle w:val="192"/>
              <w:rPr>
                <w:rFonts w:hint="default" w:ascii="Times New Roman" w:hAnsi="Times New Roman" w:cs="Times New Roman"/>
                <w:spacing w:val="-2"/>
              </w:rPr>
            </w:pPr>
            <w:r>
              <w:rPr>
                <w:rFonts w:hint="default" w:ascii="Times New Roman" w:hAnsi="Times New Roman" w:cs="Times New Roman"/>
                <w:spacing w:val="-2"/>
              </w:rPr>
              <w:t>3~20</w:t>
            </w:r>
          </w:p>
        </w:tc>
        <w:tc>
          <w:tcPr>
            <w:tcW w:w="647" w:type="pct"/>
            <w:shd w:val="clear" w:color="auto" w:fill="auto"/>
            <w:vAlign w:val="center"/>
          </w:tcPr>
          <w:p w14:paraId="48525409">
            <w:pPr>
              <w:pStyle w:val="192"/>
              <w:rPr>
                <w:rFonts w:hint="default" w:ascii="Times New Roman" w:hAnsi="Times New Roman" w:cs="Times New Roman"/>
                <w:spacing w:val="-2"/>
              </w:rPr>
            </w:pPr>
            <w:r>
              <w:rPr>
                <w:rFonts w:hint="default" w:ascii="Times New Roman" w:hAnsi="Times New Roman" w:cs="Times New Roman"/>
                <w:spacing w:val="-2"/>
              </w:rPr>
              <w:t>T0622</w:t>
            </w:r>
          </w:p>
        </w:tc>
      </w:tr>
      <w:tr w14:paraId="4F7C1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continue"/>
            <w:shd w:val="clear" w:color="auto" w:fill="auto"/>
            <w:vAlign w:val="center"/>
          </w:tcPr>
          <w:p w14:paraId="49002CFF">
            <w:pPr>
              <w:pStyle w:val="192"/>
              <w:rPr>
                <w:rFonts w:hint="default" w:ascii="Times New Roman" w:hAnsi="Times New Roman" w:cs="Times New Roman"/>
                <w:spacing w:val="-2"/>
              </w:rPr>
            </w:pPr>
          </w:p>
        </w:tc>
        <w:tc>
          <w:tcPr>
            <w:tcW w:w="1776" w:type="pct"/>
            <w:shd w:val="clear" w:color="auto" w:fill="auto"/>
            <w:vAlign w:val="center"/>
          </w:tcPr>
          <w:p w14:paraId="26CB12C6">
            <w:pPr>
              <w:pStyle w:val="192"/>
              <w:rPr>
                <w:rFonts w:hint="default" w:ascii="Times New Roman" w:hAnsi="Times New Roman" w:cs="Times New Roman"/>
                <w:spacing w:val="-2"/>
              </w:rPr>
            </w:pPr>
            <w:r>
              <w:rPr>
                <w:rFonts w:hint="default" w:ascii="Times New Roman" w:hAnsi="Times New Roman" w:cs="Times New Roman"/>
                <w:spacing w:val="-2"/>
              </w:rPr>
              <w:t>沥青标准黏度C</w:t>
            </w:r>
            <w:r>
              <w:rPr>
                <w:rFonts w:hint="default" w:ascii="Times New Roman" w:hAnsi="Times New Roman" w:cs="Times New Roman"/>
                <w:spacing w:val="-2"/>
                <w:vertAlign w:val="subscript"/>
              </w:rPr>
              <w:t>25，3</w:t>
            </w:r>
            <w:r>
              <w:rPr>
                <w:rFonts w:hint="default" w:ascii="Times New Roman" w:hAnsi="Times New Roman" w:cs="Times New Roman"/>
                <w:spacing w:val="-2"/>
              </w:rPr>
              <w:t>（s）</w:t>
            </w:r>
          </w:p>
        </w:tc>
        <w:tc>
          <w:tcPr>
            <w:tcW w:w="1615" w:type="pct"/>
            <w:shd w:val="clear" w:color="auto" w:fill="auto"/>
            <w:vAlign w:val="center"/>
          </w:tcPr>
          <w:p w14:paraId="579BEB21">
            <w:pPr>
              <w:pStyle w:val="192"/>
              <w:rPr>
                <w:rFonts w:hint="default" w:ascii="Times New Roman" w:hAnsi="Times New Roman" w:cs="Times New Roman"/>
                <w:spacing w:val="-2"/>
              </w:rPr>
            </w:pPr>
            <w:r>
              <w:rPr>
                <w:rFonts w:hint="default" w:ascii="Times New Roman" w:hAnsi="Times New Roman" w:cs="Times New Roman"/>
                <w:spacing w:val="-2"/>
              </w:rPr>
              <w:t>12~60</w:t>
            </w:r>
          </w:p>
        </w:tc>
        <w:tc>
          <w:tcPr>
            <w:tcW w:w="647" w:type="pct"/>
            <w:shd w:val="clear" w:color="auto" w:fill="auto"/>
            <w:vAlign w:val="center"/>
          </w:tcPr>
          <w:p w14:paraId="1398297B">
            <w:pPr>
              <w:pStyle w:val="192"/>
              <w:rPr>
                <w:rFonts w:hint="default" w:ascii="Times New Roman" w:hAnsi="Times New Roman" w:cs="Times New Roman"/>
                <w:spacing w:val="-2"/>
              </w:rPr>
            </w:pPr>
            <w:r>
              <w:rPr>
                <w:rFonts w:hint="default" w:ascii="Times New Roman" w:hAnsi="Times New Roman" w:cs="Times New Roman"/>
                <w:spacing w:val="-2"/>
              </w:rPr>
              <w:t>T0621</w:t>
            </w:r>
          </w:p>
        </w:tc>
      </w:tr>
      <w:tr w14:paraId="4129F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restart"/>
            <w:shd w:val="clear" w:color="auto" w:fill="auto"/>
            <w:vAlign w:val="center"/>
          </w:tcPr>
          <w:p w14:paraId="67253F4B">
            <w:pPr>
              <w:pStyle w:val="192"/>
              <w:rPr>
                <w:rFonts w:hint="default" w:ascii="Times New Roman" w:hAnsi="Times New Roman" w:cs="Times New Roman"/>
                <w:spacing w:val="-2"/>
              </w:rPr>
            </w:pPr>
            <w:r>
              <w:rPr>
                <w:rFonts w:hint="default" w:ascii="Times New Roman" w:hAnsi="Times New Roman" w:cs="Times New Roman"/>
                <w:spacing w:val="-2"/>
              </w:rPr>
              <w:t>蒸发残留物性能试验</w:t>
            </w:r>
          </w:p>
        </w:tc>
        <w:tc>
          <w:tcPr>
            <w:tcW w:w="1776" w:type="pct"/>
            <w:shd w:val="clear" w:color="auto" w:fill="auto"/>
            <w:vAlign w:val="center"/>
          </w:tcPr>
          <w:p w14:paraId="1AFA0E18">
            <w:pPr>
              <w:pStyle w:val="192"/>
              <w:rPr>
                <w:rFonts w:hint="default" w:ascii="Times New Roman" w:hAnsi="Times New Roman" w:cs="Times New Roman"/>
                <w:spacing w:val="-2"/>
              </w:rPr>
            </w:pPr>
            <w:r>
              <w:rPr>
                <w:rFonts w:hint="default" w:ascii="Times New Roman" w:hAnsi="Times New Roman" w:cs="Times New Roman"/>
                <w:spacing w:val="-2"/>
              </w:rPr>
              <w:t>含量（%）</w:t>
            </w:r>
          </w:p>
        </w:tc>
        <w:tc>
          <w:tcPr>
            <w:tcW w:w="1615" w:type="pct"/>
            <w:shd w:val="clear" w:color="auto" w:fill="auto"/>
            <w:vAlign w:val="center"/>
          </w:tcPr>
          <w:p w14:paraId="05FB6D23">
            <w:pPr>
              <w:pStyle w:val="192"/>
              <w:rPr>
                <w:rFonts w:hint="default" w:ascii="Times New Roman" w:hAnsi="Times New Roman" w:cs="Times New Roman"/>
                <w:spacing w:val="-2"/>
              </w:rPr>
            </w:pPr>
            <w:r>
              <w:rPr>
                <w:rFonts w:hint="default" w:ascii="Times New Roman" w:hAnsi="Times New Roman" w:cs="Times New Roman"/>
                <w:spacing w:val="-2"/>
              </w:rPr>
              <w:t>≥60</w:t>
            </w:r>
          </w:p>
        </w:tc>
        <w:tc>
          <w:tcPr>
            <w:tcW w:w="647" w:type="pct"/>
            <w:shd w:val="clear" w:color="auto" w:fill="auto"/>
            <w:vAlign w:val="center"/>
          </w:tcPr>
          <w:p w14:paraId="199696F5">
            <w:pPr>
              <w:pStyle w:val="192"/>
              <w:rPr>
                <w:rFonts w:hint="default" w:ascii="Times New Roman" w:hAnsi="Times New Roman" w:cs="Times New Roman"/>
                <w:spacing w:val="-2"/>
              </w:rPr>
            </w:pPr>
            <w:r>
              <w:rPr>
                <w:rFonts w:hint="default" w:ascii="Times New Roman" w:hAnsi="Times New Roman" w:cs="Times New Roman"/>
                <w:spacing w:val="-2"/>
              </w:rPr>
              <w:t>T0651</w:t>
            </w:r>
          </w:p>
        </w:tc>
      </w:tr>
      <w:tr w14:paraId="38B67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962" w:type="pct"/>
            <w:vMerge w:val="continue"/>
            <w:shd w:val="clear" w:color="auto" w:fill="auto"/>
            <w:vAlign w:val="center"/>
          </w:tcPr>
          <w:p w14:paraId="0188F42F">
            <w:pPr>
              <w:pStyle w:val="192"/>
              <w:rPr>
                <w:rFonts w:hint="default" w:ascii="Times New Roman" w:hAnsi="Times New Roman" w:cs="Times New Roman"/>
                <w:spacing w:val="-2"/>
              </w:rPr>
            </w:pPr>
          </w:p>
        </w:tc>
        <w:tc>
          <w:tcPr>
            <w:tcW w:w="1776" w:type="pct"/>
            <w:shd w:val="clear" w:color="auto" w:fill="auto"/>
            <w:vAlign w:val="center"/>
          </w:tcPr>
          <w:p w14:paraId="3D80BDA3">
            <w:pPr>
              <w:pStyle w:val="192"/>
              <w:rPr>
                <w:rFonts w:hint="default" w:ascii="Times New Roman" w:hAnsi="Times New Roman" w:cs="Times New Roman"/>
                <w:spacing w:val="-2"/>
              </w:rPr>
            </w:pPr>
            <w:r>
              <w:rPr>
                <w:rFonts w:hint="default" w:ascii="Times New Roman" w:hAnsi="Times New Roman" w:cs="Times New Roman"/>
                <w:spacing w:val="-2"/>
              </w:rPr>
              <w:t>针入度（25℃，100g， 5s） （0.1mm）</w:t>
            </w:r>
          </w:p>
        </w:tc>
        <w:tc>
          <w:tcPr>
            <w:tcW w:w="1615" w:type="pct"/>
            <w:shd w:val="clear" w:color="auto" w:fill="auto"/>
            <w:vAlign w:val="center"/>
          </w:tcPr>
          <w:p w14:paraId="0EF7E139">
            <w:pPr>
              <w:pStyle w:val="192"/>
              <w:rPr>
                <w:rFonts w:hint="default" w:ascii="Times New Roman" w:hAnsi="Times New Roman" w:cs="Times New Roman"/>
                <w:spacing w:val="-2"/>
              </w:rPr>
            </w:pPr>
            <w:r>
              <w:rPr>
                <w:rFonts w:hint="default" w:ascii="Times New Roman" w:hAnsi="Times New Roman" w:cs="Times New Roman"/>
                <w:spacing w:val="-2"/>
              </w:rPr>
              <w:t>60~100</w:t>
            </w:r>
          </w:p>
        </w:tc>
        <w:tc>
          <w:tcPr>
            <w:tcW w:w="647" w:type="pct"/>
            <w:shd w:val="clear" w:color="auto" w:fill="auto"/>
            <w:vAlign w:val="center"/>
          </w:tcPr>
          <w:p w14:paraId="5687F45D">
            <w:pPr>
              <w:pStyle w:val="192"/>
              <w:rPr>
                <w:rFonts w:hint="default" w:ascii="Times New Roman" w:hAnsi="Times New Roman" w:cs="Times New Roman"/>
                <w:spacing w:val="-2"/>
              </w:rPr>
            </w:pPr>
            <w:r>
              <w:rPr>
                <w:rFonts w:hint="default" w:ascii="Times New Roman" w:hAnsi="Times New Roman" w:cs="Times New Roman"/>
                <w:spacing w:val="-2"/>
              </w:rPr>
              <w:t>T0604</w:t>
            </w:r>
          </w:p>
        </w:tc>
      </w:tr>
      <w:tr w14:paraId="4E3B7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continue"/>
            <w:shd w:val="clear" w:color="auto" w:fill="auto"/>
            <w:vAlign w:val="center"/>
          </w:tcPr>
          <w:p w14:paraId="4B13D3BA">
            <w:pPr>
              <w:pStyle w:val="192"/>
              <w:rPr>
                <w:rFonts w:hint="default" w:ascii="Times New Roman" w:hAnsi="Times New Roman" w:cs="Times New Roman"/>
                <w:spacing w:val="-2"/>
              </w:rPr>
            </w:pPr>
          </w:p>
        </w:tc>
        <w:tc>
          <w:tcPr>
            <w:tcW w:w="1776" w:type="pct"/>
            <w:shd w:val="clear" w:color="auto" w:fill="auto"/>
            <w:vAlign w:val="center"/>
          </w:tcPr>
          <w:p w14:paraId="52AE5911">
            <w:pPr>
              <w:pStyle w:val="192"/>
              <w:rPr>
                <w:rFonts w:hint="default" w:ascii="Times New Roman" w:hAnsi="Times New Roman" w:cs="Times New Roman"/>
                <w:spacing w:val="-2"/>
              </w:rPr>
            </w:pPr>
            <w:r>
              <w:rPr>
                <w:rFonts w:hint="default" w:ascii="Times New Roman" w:hAnsi="Times New Roman" w:cs="Times New Roman"/>
                <w:spacing w:val="-2"/>
              </w:rPr>
              <w:t>软化点（℃）</w:t>
            </w:r>
          </w:p>
        </w:tc>
        <w:tc>
          <w:tcPr>
            <w:tcW w:w="1615" w:type="pct"/>
            <w:shd w:val="clear" w:color="auto" w:fill="auto"/>
            <w:vAlign w:val="center"/>
          </w:tcPr>
          <w:p w14:paraId="059BBA7F">
            <w:pPr>
              <w:pStyle w:val="192"/>
              <w:rPr>
                <w:rFonts w:hint="default" w:ascii="Times New Roman" w:hAnsi="Times New Roman" w:cs="Times New Roman"/>
                <w:spacing w:val="-2"/>
              </w:rPr>
            </w:pPr>
            <w:r>
              <w:rPr>
                <w:rFonts w:hint="default" w:ascii="Times New Roman" w:hAnsi="Times New Roman" w:cs="Times New Roman"/>
                <w:spacing w:val="-2"/>
              </w:rPr>
              <w:t>≥85</w:t>
            </w:r>
          </w:p>
        </w:tc>
        <w:tc>
          <w:tcPr>
            <w:tcW w:w="647" w:type="pct"/>
            <w:shd w:val="clear" w:color="auto" w:fill="auto"/>
            <w:vAlign w:val="center"/>
          </w:tcPr>
          <w:p w14:paraId="424E3B08">
            <w:pPr>
              <w:pStyle w:val="192"/>
              <w:rPr>
                <w:rFonts w:hint="default" w:ascii="Times New Roman" w:hAnsi="Times New Roman" w:cs="Times New Roman"/>
                <w:spacing w:val="-2"/>
              </w:rPr>
            </w:pPr>
            <w:r>
              <w:rPr>
                <w:rFonts w:hint="default" w:ascii="Times New Roman" w:hAnsi="Times New Roman" w:cs="Times New Roman"/>
                <w:spacing w:val="-2"/>
              </w:rPr>
              <w:t>T0606</w:t>
            </w:r>
          </w:p>
        </w:tc>
      </w:tr>
      <w:tr w14:paraId="7701E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962" w:type="pct"/>
            <w:vMerge w:val="continue"/>
            <w:shd w:val="clear" w:color="auto" w:fill="auto"/>
            <w:vAlign w:val="center"/>
          </w:tcPr>
          <w:p w14:paraId="5988D142">
            <w:pPr>
              <w:pStyle w:val="192"/>
              <w:rPr>
                <w:rFonts w:hint="default" w:ascii="Times New Roman" w:hAnsi="Times New Roman" w:cs="Times New Roman"/>
                <w:spacing w:val="-2"/>
              </w:rPr>
            </w:pPr>
          </w:p>
        </w:tc>
        <w:tc>
          <w:tcPr>
            <w:tcW w:w="1776" w:type="pct"/>
            <w:shd w:val="clear" w:color="auto" w:fill="auto"/>
            <w:vAlign w:val="center"/>
          </w:tcPr>
          <w:p w14:paraId="70D0B561">
            <w:pPr>
              <w:pStyle w:val="192"/>
              <w:rPr>
                <w:rFonts w:hint="default" w:ascii="Times New Roman" w:hAnsi="Times New Roman" w:cs="Times New Roman"/>
                <w:spacing w:val="-2"/>
              </w:rPr>
            </w:pPr>
            <w:r>
              <w:rPr>
                <w:rFonts w:hint="default" w:ascii="Times New Roman" w:hAnsi="Times New Roman" w:cs="Times New Roman"/>
                <w:spacing w:val="-2"/>
              </w:rPr>
              <w:t>延度（5℃，5cm/min）（cm）</w:t>
            </w:r>
          </w:p>
        </w:tc>
        <w:tc>
          <w:tcPr>
            <w:tcW w:w="1615" w:type="pct"/>
            <w:shd w:val="clear" w:color="auto" w:fill="auto"/>
            <w:vAlign w:val="center"/>
          </w:tcPr>
          <w:p w14:paraId="11CB335E">
            <w:pPr>
              <w:pStyle w:val="192"/>
              <w:rPr>
                <w:rFonts w:hint="default" w:ascii="Times New Roman" w:hAnsi="Times New Roman" w:cs="Times New Roman"/>
                <w:spacing w:val="-2"/>
              </w:rPr>
            </w:pPr>
            <w:r>
              <w:rPr>
                <w:rFonts w:hint="default" w:ascii="Times New Roman" w:hAnsi="Times New Roman" w:cs="Times New Roman"/>
                <w:spacing w:val="-2"/>
              </w:rPr>
              <w:t>≥45</w:t>
            </w:r>
          </w:p>
        </w:tc>
        <w:tc>
          <w:tcPr>
            <w:tcW w:w="647" w:type="pct"/>
            <w:shd w:val="clear" w:color="auto" w:fill="auto"/>
            <w:vAlign w:val="center"/>
          </w:tcPr>
          <w:p w14:paraId="3B7E4AA1">
            <w:pPr>
              <w:pStyle w:val="192"/>
              <w:rPr>
                <w:rFonts w:hint="default" w:ascii="Times New Roman" w:hAnsi="Times New Roman" w:cs="Times New Roman"/>
                <w:spacing w:val="-2"/>
              </w:rPr>
            </w:pPr>
            <w:r>
              <w:rPr>
                <w:rFonts w:hint="default" w:ascii="Times New Roman" w:hAnsi="Times New Roman" w:cs="Times New Roman"/>
                <w:spacing w:val="-2"/>
              </w:rPr>
              <w:t>T0605</w:t>
            </w:r>
          </w:p>
        </w:tc>
      </w:tr>
      <w:tr w14:paraId="0C9B2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962" w:type="pct"/>
            <w:vMerge w:val="continue"/>
            <w:shd w:val="clear" w:color="auto" w:fill="auto"/>
            <w:vAlign w:val="center"/>
          </w:tcPr>
          <w:p w14:paraId="1EE6E340">
            <w:pPr>
              <w:pStyle w:val="192"/>
              <w:rPr>
                <w:rFonts w:hint="default" w:ascii="Times New Roman" w:hAnsi="Times New Roman" w:cs="Times New Roman"/>
                <w:spacing w:val="-2"/>
              </w:rPr>
            </w:pPr>
          </w:p>
        </w:tc>
        <w:tc>
          <w:tcPr>
            <w:tcW w:w="1776" w:type="pct"/>
            <w:shd w:val="clear" w:color="auto" w:fill="auto"/>
            <w:vAlign w:val="center"/>
          </w:tcPr>
          <w:p w14:paraId="1AA8BE95">
            <w:pPr>
              <w:pStyle w:val="192"/>
              <w:rPr>
                <w:rFonts w:hint="default" w:ascii="Times New Roman" w:hAnsi="Times New Roman" w:cs="Times New Roman"/>
                <w:spacing w:val="-2"/>
              </w:rPr>
            </w:pPr>
            <w:r>
              <w:rPr>
                <w:rFonts w:hint="default" w:ascii="Times New Roman" w:hAnsi="Times New Roman" w:cs="Times New Roman"/>
                <w:spacing w:val="-2"/>
              </w:rPr>
              <w:t>溶解度（三氯乙烯）（%）</w:t>
            </w:r>
          </w:p>
        </w:tc>
        <w:tc>
          <w:tcPr>
            <w:tcW w:w="1615" w:type="pct"/>
            <w:shd w:val="clear" w:color="auto" w:fill="auto"/>
            <w:vAlign w:val="center"/>
          </w:tcPr>
          <w:p w14:paraId="56A413AC">
            <w:pPr>
              <w:pStyle w:val="192"/>
              <w:rPr>
                <w:rFonts w:hint="default" w:ascii="Times New Roman" w:hAnsi="Times New Roman" w:cs="Times New Roman"/>
                <w:spacing w:val="-2"/>
              </w:rPr>
            </w:pPr>
            <w:r>
              <w:rPr>
                <w:rFonts w:hint="default" w:ascii="Times New Roman" w:hAnsi="Times New Roman" w:cs="Times New Roman"/>
                <w:spacing w:val="-2"/>
              </w:rPr>
              <w:t>≥97.5</w:t>
            </w:r>
          </w:p>
        </w:tc>
        <w:tc>
          <w:tcPr>
            <w:tcW w:w="647" w:type="pct"/>
            <w:shd w:val="clear" w:color="auto" w:fill="auto"/>
            <w:vAlign w:val="center"/>
          </w:tcPr>
          <w:p w14:paraId="6F939A81">
            <w:pPr>
              <w:pStyle w:val="192"/>
              <w:rPr>
                <w:rFonts w:hint="default" w:ascii="Times New Roman" w:hAnsi="Times New Roman" w:cs="Times New Roman"/>
                <w:spacing w:val="-2"/>
              </w:rPr>
            </w:pPr>
            <w:r>
              <w:rPr>
                <w:rFonts w:hint="default" w:ascii="Times New Roman" w:hAnsi="Times New Roman" w:cs="Times New Roman"/>
                <w:spacing w:val="-2"/>
              </w:rPr>
              <w:t>T0607</w:t>
            </w:r>
          </w:p>
        </w:tc>
      </w:tr>
      <w:tr w14:paraId="03526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continue"/>
            <w:shd w:val="clear" w:color="auto" w:fill="auto"/>
            <w:vAlign w:val="center"/>
          </w:tcPr>
          <w:p w14:paraId="37E8F834">
            <w:pPr>
              <w:pStyle w:val="192"/>
              <w:rPr>
                <w:rFonts w:hint="default" w:ascii="Times New Roman" w:hAnsi="Times New Roman" w:cs="Times New Roman"/>
                <w:spacing w:val="-2"/>
              </w:rPr>
            </w:pPr>
          </w:p>
        </w:tc>
        <w:tc>
          <w:tcPr>
            <w:tcW w:w="1776" w:type="pct"/>
            <w:shd w:val="clear" w:color="auto" w:fill="auto"/>
            <w:vAlign w:val="center"/>
          </w:tcPr>
          <w:p w14:paraId="7F86ABDE">
            <w:pPr>
              <w:pStyle w:val="192"/>
              <w:rPr>
                <w:rFonts w:hint="default" w:ascii="Times New Roman" w:hAnsi="Times New Roman" w:cs="Times New Roman"/>
                <w:spacing w:val="-2"/>
              </w:rPr>
            </w:pPr>
            <w:r>
              <w:rPr>
                <w:rFonts w:hint="default" w:ascii="Times New Roman" w:hAnsi="Times New Roman" w:cs="Times New Roman"/>
                <w:spacing w:val="-2"/>
              </w:rPr>
              <w:t>25℃弹性恢复 （%）</w:t>
            </w:r>
          </w:p>
        </w:tc>
        <w:tc>
          <w:tcPr>
            <w:tcW w:w="1615" w:type="pct"/>
            <w:shd w:val="clear" w:color="auto" w:fill="auto"/>
            <w:vAlign w:val="center"/>
          </w:tcPr>
          <w:p w14:paraId="6C7C60B4">
            <w:pPr>
              <w:pStyle w:val="192"/>
              <w:rPr>
                <w:rFonts w:hint="default" w:ascii="Times New Roman" w:hAnsi="Times New Roman" w:cs="Times New Roman"/>
                <w:spacing w:val="-2"/>
              </w:rPr>
            </w:pPr>
            <w:r>
              <w:rPr>
                <w:rFonts w:hint="default" w:ascii="Times New Roman" w:hAnsi="Times New Roman" w:cs="Times New Roman"/>
                <w:spacing w:val="-2"/>
              </w:rPr>
              <w:t>≥95</w:t>
            </w:r>
          </w:p>
        </w:tc>
        <w:tc>
          <w:tcPr>
            <w:tcW w:w="647" w:type="pct"/>
            <w:shd w:val="clear" w:color="auto" w:fill="auto"/>
            <w:vAlign w:val="center"/>
          </w:tcPr>
          <w:p w14:paraId="7A96B95F">
            <w:pPr>
              <w:pStyle w:val="192"/>
              <w:rPr>
                <w:rFonts w:hint="default" w:ascii="Times New Roman" w:hAnsi="Times New Roman" w:cs="Times New Roman"/>
                <w:spacing w:val="-2"/>
              </w:rPr>
            </w:pPr>
            <w:r>
              <w:rPr>
                <w:rFonts w:hint="default" w:ascii="Times New Roman" w:hAnsi="Times New Roman" w:cs="Times New Roman"/>
                <w:spacing w:val="-2"/>
              </w:rPr>
              <w:t>T0662</w:t>
            </w:r>
          </w:p>
        </w:tc>
      </w:tr>
      <w:tr w14:paraId="242AF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continue"/>
            <w:shd w:val="clear" w:color="auto" w:fill="auto"/>
            <w:vAlign w:val="center"/>
          </w:tcPr>
          <w:p w14:paraId="0B0FA02E">
            <w:pPr>
              <w:pStyle w:val="192"/>
              <w:rPr>
                <w:rFonts w:hint="default" w:ascii="Times New Roman" w:hAnsi="Times New Roman" w:cs="Times New Roman"/>
                <w:spacing w:val="-2"/>
              </w:rPr>
            </w:pPr>
          </w:p>
        </w:tc>
        <w:tc>
          <w:tcPr>
            <w:tcW w:w="1776" w:type="pct"/>
            <w:shd w:val="clear" w:color="auto" w:fill="auto"/>
            <w:vAlign w:val="center"/>
          </w:tcPr>
          <w:p w14:paraId="7180CE24">
            <w:pPr>
              <w:pStyle w:val="192"/>
              <w:rPr>
                <w:rFonts w:hint="default" w:ascii="Times New Roman" w:hAnsi="Times New Roman" w:cs="Times New Roman"/>
                <w:spacing w:val="-2"/>
              </w:rPr>
            </w:pPr>
            <w:r>
              <w:rPr>
                <w:rFonts w:hint="default" w:ascii="Times New Roman" w:hAnsi="Times New Roman" w:cs="Times New Roman"/>
                <w:spacing w:val="-2"/>
              </w:rPr>
              <w:t>60℃动力黏度（Pa·s）</w:t>
            </w:r>
          </w:p>
        </w:tc>
        <w:tc>
          <w:tcPr>
            <w:tcW w:w="1615" w:type="pct"/>
            <w:shd w:val="clear" w:color="auto" w:fill="auto"/>
            <w:vAlign w:val="center"/>
          </w:tcPr>
          <w:p w14:paraId="75712C35">
            <w:pPr>
              <w:pStyle w:val="192"/>
              <w:rPr>
                <w:rFonts w:hint="default" w:ascii="Times New Roman" w:hAnsi="Times New Roman" w:cs="Times New Roman"/>
                <w:spacing w:val="-2"/>
              </w:rPr>
            </w:pPr>
            <w:r>
              <w:rPr>
                <w:rFonts w:hint="default" w:ascii="Times New Roman" w:hAnsi="Times New Roman" w:cs="Times New Roman"/>
                <w:spacing w:val="-2"/>
              </w:rPr>
              <w:t>≥70000</w:t>
            </w:r>
          </w:p>
        </w:tc>
        <w:tc>
          <w:tcPr>
            <w:tcW w:w="647" w:type="pct"/>
            <w:shd w:val="clear" w:color="auto" w:fill="auto"/>
            <w:vAlign w:val="center"/>
          </w:tcPr>
          <w:p w14:paraId="11B9E8F7">
            <w:pPr>
              <w:pStyle w:val="192"/>
              <w:rPr>
                <w:rFonts w:hint="default" w:ascii="Times New Roman" w:hAnsi="Times New Roman" w:cs="Times New Roman"/>
                <w:spacing w:val="-2"/>
              </w:rPr>
            </w:pPr>
            <w:r>
              <w:rPr>
                <w:rFonts w:hint="default" w:ascii="Times New Roman" w:hAnsi="Times New Roman" w:cs="Times New Roman"/>
                <w:spacing w:val="-2"/>
              </w:rPr>
              <w:t>T0620</w:t>
            </w:r>
          </w:p>
        </w:tc>
      </w:tr>
      <w:tr w14:paraId="013C8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962" w:type="pct"/>
            <w:vMerge w:val="restart"/>
            <w:shd w:val="clear" w:color="auto" w:fill="auto"/>
            <w:vAlign w:val="center"/>
          </w:tcPr>
          <w:p w14:paraId="1FEC6D2C">
            <w:pPr>
              <w:pStyle w:val="192"/>
              <w:rPr>
                <w:rFonts w:hint="default" w:ascii="Times New Roman" w:hAnsi="Times New Roman" w:cs="Times New Roman"/>
                <w:spacing w:val="-2"/>
              </w:rPr>
            </w:pPr>
            <w:r>
              <w:rPr>
                <w:rFonts w:hint="default" w:ascii="Times New Roman" w:hAnsi="Times New Roman" w:cs="Times New Roman"/>
                <w:spacing w:val="-2"/>
              </w:rPr>
              <w:t xml:space="preserve">储存稳定性 </w:t>
            </w:r>
          </w:p>
        </w:tc>
        <w:tc>
          <w:tcPr>
            <w:tcW w:w="1776" w:type="pct"/>
            <w:shd w:val="clear" w:color="auto" w:fill="auto"/>
            <w:vAlign w:val="center"/>
          </w:tcPr>
          <w:p w14:paraId="4C24E49C">
            <w:pPr>
              <w:pStyle w:val="192"/>
              <w:rPr>
                <w:rFonts w:hint="default" w:ascii="Times New Roman" w:hAnsi="Times New Roman" w:cs="Times New Roman"/>
                <w:spacing w:val="-2"/>
              </w:rPr>
            </w:pPr>
            <w:r>
              <w:rPr>
                <w:rFonts w:hint="default" w:ascii="Times New Roman" w:hAnsi="Times New Roman" w:cs="Times New Roman"/>
                <w:spacing w:val="-2"/>
              </w:rPr>
              <w:t>24h（%）</w:t>
            </w:r>
          </w:p>
        </w:tc>
        <w:tc>
          <w:tcPr>
            <w:tcW w:w="1615" w:type="pct"/>
            <w:shd w:val="clear" w:color="auto" w:fill="auto"/>
            <w:vAlign w:val="center"/>
          </w:tcPr>
          <w:p w14:paraId="3E631448">
            <w:pPr>
              <w:pStyle w:val="192"/>
              <w:rPr>
                <w:rFonts w:hint="default" w:ascii="Times New Roman" w:hAnsi="Times New Roman" w:cs="Times New Roman"/>
                <w:spacing w:val="-2"/>
              </w:rPr>
            </w:pPr>
            <w:r>
              <w:rPr>
                <w:rFonts w:hint="default" w:ascii="Times New Roman" w:hAnsi="Times New Roman" w:cs="Times New Roman"/>
                <w:spacing w:val="-2"/>
              </w:rPr>
              <w:t>≤1</w:t>
            </w:r>
          </w:p>
        </w:tc>
        <w:tc>
          <w:tcPr>
            <w:tcW w:w="647" w:type="pct"/>
            <w:shd w:val="clear" w:color="auto" w:fill="auto"/>
            <w:vAlign w:val="center"/>
          </w:tcPr>
          <w:p w14:paraId="7A0DDF4D">
            <w:pPr>
              <w:pStyle w:val="192"/>
              <w:rPr>
                <w:rFonts w:hint="default" w:ascii="Times New Roman" w:hAnsi="Times New Roman" w:cs="Times New Roman"/>
                <w:spacing w:val="-2"/>
              </w:rPr>
            </w:pPr>
            <w:r>
              <w:rPr>
                <w:rFonts w:hint="default" w:ascii="Times New Roman" w:hAnsi="Times New Roman" w:cs="Times New Roman"/>
                <w:spacing w:val="-2"/>
              </w:rPr>
              <w:t>T0655</w:t>
            </w:r>
          </w:p>
        </w:tc>
      </w:tr>
      <w:tr w14:paraId="063D6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2" w:type="pct"/>
            <w:vMerge w:val="continue"/>
            <w:shd w:val="clear" w:color="auto" w:fill="auto"/>
            <w:vAlign w:val="center"/>
          </w:tcPr>
          <w:p w14:paraId="095FFBED">
            <w:pPr>
              <w:pStyle w:val="192"/>
              <w:rPr>
                <w:rFonts w:hint="default" w:ascii="Times New Roman" w:hAnsi="Times New Roman" w:cs="Times New Roman"/>
                <w:spacing w:val="-2"/>
              </w:rPr>
            </w:pPr>
          </w:p>
        </w:tc>
        <w:tc>
          <w:tcPr>
            <w:tcW w:w="1776" w:type="pct"/>
            <w:shd w:val="clear" w:color="auto" w:fill="auto"/>
            <w:vAlign w:val="center"/>
          </w:tcPr>
          <w:p w14:paraId="425063CD">
            <w:pPr>
              <w:pStyle w:val="192"/>
              <w:rPr>
                <w:rFonts w:hint="default" w:ascii="Times New Roman" w:hAnsi="Times New Roman" w:cs="Times New Roman"/>
                <w:spacing w:val="-2"/>
              </w:rPr>
            </w:pPr>
            <w:r>
              <w:rPr>
                <w:rFonts w:hint="default" w:ascii="Times New Roman" w:hAnsi="Times New Roman" w:cs="Times New Roman"/>
                <w:spacing w:val="-2"/>
              </w:rPr>
              <w:t>5d（%）</w:t>
            </w:r>
          </w:p>
        </w:tc>
        <w:tc>
          <w:tcPr>
            <w:tcW w:w="1615" w:type="pct"/>
            <w:shd w:val="clear" w:color="auto" w:fill="auto"/>
            <w:vAlign w:val="center"/>
          </w:tcPr>
          <w:p w14:paraId="2111975D">
            <w:pPr>
              <w:pStyle w:val="192"/>
              <w:rPr>
                <w:rFonts w:hint="default" w:ascii="Times New Roman" w:hAnsi="Times New Roman" w:cs="Times New Roman"/>
                <w:spacing w:val="-2"/>
              </w:rPr>
            </w:pPr>
            <w:r>
              <w:rPr>
                <w:rFonts w:hint="default" w:ascii="Times New Roman" w:hAnsi="Times New Roman" w:cs="Times New Roman"/>
                <w:spacing w:val="-2"/>
              </w:rPr>
              <w:t>≤5</w:t>
            </w:r>
          </w:p>
        </w:tc>
        <w:tc>
          <w:tcPr>
            <w:tcW w:w="647" w:type="pct"/>
            <w:shd w:val="clear" w:color="auto" w:fill="auto"/>
            <w:vAlign w:val="center"/>
          </w:tcPr>
          <w:p w14:paraId="3AE88B86">
            <w:pPr>
              <w:pStyle w:val="192"/>
              <w:rPr>
                <w:rFonts w:hint="default" w:ascii="Times New Roman" w:hAnsi="Times New Roman" w:cs="Times New Roman"/>
                <w:spacing w:val="-2"/>
              </w:rPr>
            </w:pPr>
            <w:r>
              <w:rPr>
                <w:rFonts w:hint="default" w:ascii="Times New Roman" w:hAnsi="Times New Roman" w:cs="Times New Roman"/>
                <w:spacing w:val="-2"/>
              </w:rPr>
              <w:t>T0655</w:t>
            </w:r>
          </w:p>
        </w:tc>
      </w:tr>
    </w:tbl>
    <w:p w14:paraId="001D93C8">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38" w:name="_Toc179636659"/>
      <w:bookmarkStart w:id="39" w:name="_Toc171517475"/>
      <w:bookmarkStart w:id="40" w:name="_Toc5237"/>
      <w:r>
        <w:rPr>
          <w:rFonts w:hint="default" w:ascii="Times New Roman" w:hAnsi="Times New Roman" w:cs="Times New Roman"/>
          <w:sz w:val="24"/>
        </w:rPr>
        <w:t>集料及填料</w:t>
      </w:r>
      <w:bookmarkEnd w:id="38"/>
      <w:bookmarkEnd w:id="39"/>
      <w:bookmarkEnd w:id="40"/>
    </w:p>
    <w:p w14:paraId="09BB189B">
      <w:pPr>
        <w:pStyle w:val="186"/>
        <w:numPr>
          <w:ilvl w:val="2"/>
          <w:numId w:val="17"/>
        </w:numPr>
        <w:spacing w:line="360" w:lineRule="auto"/>
        <w:ind w:left="0" w:firstLine="424" w:firstLineChars="177"/>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粗集料宜采用质地坚硬、表面粗糙、形状接近立方体的玄武岩或辉绿岩等硬质石料加工而成，具有良好的耐磨耗与磨光性能。粗集料应符合表5.4.1的规定。</w:t>
      </w:r>
    </w:p>
    <w:p w14:paraId="69ABA795">
      <w:pPr>
        <w:pStyle w:val="190"/>
        <w:rPr>
          <w:rFonts w:hint="default" w:ascii="Times New Roman" w:hAnsi="Times New Roman" w:eastAsia="黑体" w:cs="Times New Roman"/>
          <w:b/>
          <w:sz w:val="21"/>
          <w:szCs w:val="21"/>
        </w:rPr>
      </w:pPr>
      <w:r>
        <w:rPr>
          <w:rFonts w:hint="default" w:ascii="Times New Roman" w:hAnsi="Times New Roman" w:eastAsia="黑体" w:cs="Times New Roman"/>
          <w:sz w:val="21"/>
          <w:szCs w:val="21"/>
        </w:rPr>
        <w:t>表5.4.1 粗集料技术指标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39"/>
        <w:gridCol w:w="1232"/>
        <w:gridCol w:w="1687"/>
        <w:gridCol w:w="1878"/>
      </w:tblGrid>
      <w:tr w14:paraId="55126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7948ECF6">
            <w:pPr>
              <w:pStyle w:val="192"/>
              <w:rPr>
                <w:rFonts w:hint="default" w:ascii="Times New Roman" w:hAnsi="Times New Roman" w:cs="Times New Roman"/>
                <w:spacing w:val="-2"/>
              </w:rPr>
            </w:pPr>
            <w:r>
              <w:rPr>
                <w:rFonts w:hint="default" w:ascii="Times New Roman" w:hAnsi="Times New Roman" w:cs="Times New Roman"/>
                <w:spacing w:val="-2"/>
              </w:rPr>
              <w:t>试验项目</w:t>
            </w:r>
          </w:p>
        </w:tc>
        <w:tc>
          <w:tcPr>
            <w:tcW w:w="739" w:type="pct"/>
            <w:shd w:val="clear" w:color="auto" w:fill="auto"/>
            <w:vAlign w:val="center"/>
          </w:tcPr>
          <w:p w14:paraId="7DB79538">
            <w:pPr>
              <w:pStyle w:val="192"/>
              <w:rPr>
                <w:rFonts w:hint="default" w:ascii="Times New Roman" w:hAnsi="Times New Roman" w:cs="Times New Roman"/>
                <w:spacing w:val="-2"/>
              </w:rPr>
            </w:pPr>
            <w:r>
              <w:rPr>
                <w:rFonts w:hint="default" w:ascii="Times New Roman" w:hAnsi="Times New Roman" w:cs="Times New Roman"/>
                <w:spacing w:val="-2"/>
              </w:rPr>
              <w:t>单位</w:t>
            </w:r>
          </w:p>
        </w:tc>
        <w:tc>
          <w:tcPr>
            <w:tcW w:w="1012" w:type="pct"/>
            <w:shd w:val="clear" w:color="auto" w:fill="auto"/>
            <w:vAlign w:val="center"/>
          </w:tcPr>
          <w:p w14:paraId="06E48F4A">
            <w:pPr>
              <w:pStyle w:val="192"/>
              <w:rPr>
                <w:rFonts w:hint="default" w:ascii="Times New Roman" w:hAnsi="Times New Roman" w:cs="Times New Roman"/>
                <w:spacing w:val="-2"/>
              </w:rPr>
            </w:pPr>
            <w:r>
              <w:rPr>
                <w:rFonts w:hint="default" w:ascii="Times New Roman" w:hAnsi="Times New Roman" w:cs="Times New Roman"/>
                <w:spacing w:val="-2"/>
              </w:rPr>
              <w:t>技术指标</w:t>
            </w:r>
          </w:p>
        </w:tc>
        <w:tc>
          <w:tcPr>
            <w:tcW w:w="1126" w:type="pct"/>
            <w:shd w:val="clear" w:color="auto" w:fill="auto"/>
            <w:vAlign w:val="center"/>
          </w:tcPr>
          <w:p w14:paraId="0959CCCC">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3AEFE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3E645B96">
            <w:pPr>
              <w:pStyle w:val="192"/>
              <w:rPr>
                <w:rFonts w:hint="default" w:ascii="Times New Roman" w:hAnsi="Times New Roman" w:cs="Times New Roman"/>
                <w:spacing w:val="-2"/>
              </w:rPr>
            </w:pPr>
            <w:r>
              <w:rPr>
                <w:rFonts w:hint="default" w:ascii="Times New Roman" w:hAnsi="Times New Roman" w:cs="Times New Roman"/>
                <w:spacing w:val="-2"/>
              </w:rPr>
              <w:t>石料压碎值</w:t>
            </w:r>
          </w:p>
        </w:tc>
        <w:tc>
          <w:tcPr>
            <w:tcW w:w="739" w:type="pct"/>
            <w:shd w:val="clear" w:color="auto" w:fill="auto"/>
            <w:vAlign w:val="center"/>
          </w:tcPr>
          <w:p w14:paraId="2B1A582B">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2CB538D2">
            <w:pPr>
              <w:pStyle w:val="192"/>
              <w:rPr>
                <w:rFonts w:hint="default" w:ascii="Times New Roman" w:hAnsi="Times New Roman" w:cs="Times New Roman"/>
                <w:spacing w:val="-2"/>
              </w:rPr>
            </w:pPr>
            <w:r>
              <w:rPr>
                <w:rFonts w:hint="default" w:ascii="Times New Roman" w:hAnsi="Times New Roman" w:cs="Times New Roman"/>
                <w:spacing w:val="-2"/>
              </w:rPr>
              <w:t>≤18</w:t>
            </w:r>
          </w:p>
        </w:tc>
        <w:tc>
          <w:tcPr>
            <w:tcW w:w="1126" w:type="pct"/>
            <w:shd w:val="clear" w:color="auto" w:fill="auto"/>
            <w:vAlign w:val="center"/>
          </w:tcPr>
          <w:p w14:paraId="3F51A9E7">
            <w:pPr>
              <w:pStyle w:val="192"/>
              <w:rPr>
                <w:rFonts w:hint="default" w:ascii="Times New Roman" w:hAnsi="Times New Roman" w:cs="Times New Roman"/>
                <w:spacing w:val="-2"/>
              </w:rPr>
            </w:pPr>
            <w:r>
              <w:rPr>
                <w:rFonts w:hint="default" w:ascii="Times New Roman" w:hAnsi="Times New Roman" w:cs="Times New Roman"/>
                <w:spacing w:val="-2"/>
              </w:rPr>
              <w:t>T 0316</w:t>
            </w:r>
          </w:p>
        </w:tc>
      </w:tr>
      <w:tr w14:paraId="72EE3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2059401D">
            <w:pPr>
              <w:pStyle w:val="192"/>
              <w:rPr>
                <w:rFonts w:hint="default" w:ascii="Times New Roman" w:hAnsi="Times New Roman" w:cs="Times New Roman"/>
                <w:spacing w:val="-2"/>
              </w:rPr>
            </w:pPr>
            <w:r>
              <w:rPr>
                <w:rFonts w:hint="default" w:ascii="Times New Roman" w:hAnsi="Times New Roman" w:cs="Times New Roman"/>
                <w:spacing w:val="-2"/>
              </w:rPr>
              <w:t>洛杉矶磨耗损失</w:t>
            </w:r>
          </w:p>
        </w:tc>
        <w:tc>
          <w:tcPr>
            <w:tcW w:w="739" w:type="pct"/>
            <w:shd w:val="clear" w:color="auto" w:fill="auto"/>
            <w:vAlign w:val="center"/>
          </w:tcPr>
          <w:p w14:paraId="1AFD65A4">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0630F489">
            <w:pPr>
              <w:pStyle w:val="192"/>
              <w:rPr>
                <w:rFonts w:hint="default" w:ascii="Times New Roman" w:hAnsi="Times New Roman" w:cs="Times New Roman"/>
                <w:spacing w:val="-2"/>
              </w:rPr>
            </w:pPr>
            <w:r>
              <w:rPr>
                <w:rFonts w:hint="default" w:ascii="Times New Roman" w:hAnsi="Times New Roman" w:cs="Times New Roman"/>
                <w:spacing w:val="-2"/>
              </w:rPr>
              <w:t>≤20</w:t>
            </w:r>
          </w:p>
        </w:tc>
        <w:tc>
          <w:tcPr>
            <w:tcW w:w="1126" w:type="pct"/>
            <w:shd w:val="clear" w:color="auto" w:fill="auto"/>
            <w:vAlign w:val="center"/>
          </w:tcPr>
          <w:p w14:paraId="1F21E8D7">
            <w:pPr>
              <w:pStyle w:val="192"/>
              <w:rPr>
                <w:rFonts w:hint="default" w:ascii="Times New Roman" w:hAnsi="Times New Roman" w:cs="Times New Roman"/>
                <w:spacing w:val="-2"/>
              </w:rPr>
            </w:pPr>
            <w:r>
              <w:rPr>
                <w:rFonts w:hint="default" w:ascii="Times New Roman" w:hAnsi="Times New Roman" w:cs="Times New Roman"/>
                <w:spacing w:val="-2"/>
              </w:rPr>
              <w:t>T 0317</w:t>
            </w:r>
          </w:p>
        </w:tc>
      </w:tr>
      <w:tr w14:paraId="78EC8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37744A58">
            <w:pPr>
              <w:pStyle w:val="192"/>
              <w:rPr>
                <w:rFonts w:hint="default" w:ascii="Times New Roman" w:hAnsi="Times New Roman" w:cs="Times New Roman"/>
                <w:spacing w:val="-2"/>
              </w:rPr>
            </w:pPr>
            <w:r>
              <w:rPr>
                <w:rFonts w:hint="default" w:ascii="Times New Roman" w:hAnsi="Times New Roman" w:cs="Times New Roman"/>
                <w:spacing w:val="-2"/>
              </w:rPr>
              <w:t>表观相对密度</w:t>
            </w:r>
          </w:p>
        </w:tc>
        <w:tc>
          <w:tcPr>
            <w:tcW w:w="739" w:type="pct"/>
            <w:shd w:val="clear" w:color="auto" w:fill="auto"/>
            <w:vAlign w:val="center"/>
          </w:tcPr>
          <w:p w14:paraId="0354E9DD">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6B9C793B">
            <w:pPr>
              <w:pStyle w:val="192"/>
              <w:rPr>
                <w:rFonts w:hint="default" w:ascii="Times New Roman" w:hAnsi="Times New Roman" w:cs="Times New Roman"/>
                <w:spacing w:val="-2"/>
              </w:rPr>
            </w:pPr>
            <w:r>
              <w:rPr>
                <w:rFonts w:hint="default" w:ascii="Times New Roman" w:hAnsi="Times New Roman" w:cs="Times New Roman"/>
                <w:spacing w:val="-2"/>
              </w:rPr>
              <w:t>≥2.7</w:t>
            </w:r>
          </w:p>
        </w:tc>
        <w:tc>
          <w:tcPr>
            <w:tcW w:w="1126" w:type="pct"/>
            <w:shd w:val="clear" w:color="auto" w:fill="auto"/>
            <w:vAlign w:val="center"/>
          </w:tcPr>
          <w:p w14:paraId="6CE3C43E">
            <w:pPr>
              <w:pStyle w:val="192"/>
              <w:rPr>
                <w:rFonts w:hint="default" w:ascii="Times New Roman" w:hAnsi="Times New Roman" w:cs="Times New Roman"/>
                <w:spacing w:val="-2"/>
              </w:rPr>
            </w:pPr>
            <w:r>
              <w:rPr>
                <w:rFonts w:hint="default" w:ascii="Times New Roman" w:hAnsi="Times New Roman" w:cs="Times New Roman"/>
                <w:spacing w:val="-2"/>
              </w:rPr>
              <w:t>T 0304</w:t>
            </w:r>
          </w:p>
        </w:tc>
      </w:tr>
      <w:tr w14:paraId="1C80C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2405B479">
            <w:pPr>
              <w:pStyle w:val="192"/>
              <w:rPr>
                <w:rFonts w:hint="default" w:ascii="Times New Roman" w:hAnsi="Times New Roman" w:cs="Times New Roman"/>
                <w:spacing w:val="-2"/>
              </w:rPr>
            </w:pPr>
            <w:r>
              <w:rPr>
                <w:rFonts w:hint="default" w:ascii="Times New Roman" w:hAnsi="Times New Roman" w:cs="Times New Roman"/>
                <w:spacing w:val="-2"/>
              </w:rPr>
              <w:t>磨光值</w:t>
            </w:r>
          </w:p>
        </w:tc>
        <w:tc>
          <w:tcPr>
            <w:tcW w:w="739" w:type="pct"/>
            <w:shd w:val="clear" w:color="auto" w:fill="auto"/>
            <w:vAlign w:val="center"/>
          </w:tcPr>
          <w:p w14:paraId="09E95875">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57F33374">
            <w:pPr>
              <w:pStyle w:val="192"/>
              <w:rPr>
                <w:rFonts w:hint="default" w:ascii="Times New Roman" w:hAnsi="Times New Roman" w:cs="Times New Roman"/>
                <w:spacing w:val="-2"/>
              </w:rPr>
            </w:pPr>
            <w:r>
              <w:rPr>
                <w:rFonts w:hint="default" w:ascii="Times New Roman" w:hAnsi="Times New Roman" w:cs="Times New Roman"/>
                <w:spacing w:val="-2"/>
              </w:rPr>
              <w:t>≥42</w:t>
            </w:r>
          </w:p>
        </w:tc>
        <w:tc>
          <w:tcPr>
            <w:tcW w:w="1126" w:type="pct"/>
            <w:shd w:val="clear" w:color="auto" w:fill="auto"/>
            <w:vAlign w:val="center"/>
          </w:tcPr>
          <w:p w14:paraId="2809D6C3">
            <w:pPr>
              <w:pStyle w:val="192"/>
              <w:rPr>
                <w:rFonts w:hint="default" w:ascii="Times New Roman" w:hAnsi="Times New Roman" w:cs="Times New Roman"/>
                <w:spacing w:val="-2"/>
              </w:rPr>
            </w:pPr>
            <w:r>
              <w:rPr>
                <w:rFonts w:hint="default" w:ascii="Times New Roman" w:hAnsi="Times New Roman" w:cs="Times New Roman"/>
                <w:spacing w:val="-2"/>
              </w:rPr>
              <w:t>T 0321</w:t>
            </w:r>
          </w:p>
        </w:tc>
      </w:tr>
      <w:tr w14:paraId="41002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13542616">
            <w:pPr>
              <w:pStyle w:val="192"/>
              <w:rPr>
                <w:rFonts w:hint="default" w:ascii="Times New Roman" w:hAnsi="Times New Roman" w:cs="Times New Roman"/>
                <w:spacing w:val="-2"/>
              </w:rPr>
            </w:pPr>
            <w:r>
              <w:rPr>
                <w:rFonts w:hint="default" w:ascii="Times New Roman" w:hAnsi="Times New Roman" w:cs="Times New Roman"/>
                <w:spacing w:val="-2"/>
              </w:rPr>
              <w:t>吸水率</w:t>
            </w:r>
          </w:p>
        </w:tc>
        <w:tc>
          <w:tcPr>
            <w:tcW w:w="739" w:type="pct"/>
            <w:shd w:val="clear" w:color="auto" w:fill="auto"/>
            <w:vAlign w:val="center"/>
          </w:tcPr>
          <w:p w14:paraId="1E45D809">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787D9407">
            <w:pPr>
              <w:pStyle w:val="192"/>
              <w:rPr>
                <w:rFonts w:hint="default" w:ascii="Times New Roman" w:hAnsi="Times New Roman" w:cs="Times New Roman"/>
                <w:spacing w:val="-2"/>
              </w:rPr>
            </w:pPr>
            <w:r>
              <w:rPr>
                <w:rFonts w:hint="default" w:ascii="Times New Roman" w:hAnsi="Times New Roman" w:cs="Times New Roman"/>
                <w:spacing w:val="-2"/>
              </w:rPr>
              <w:t>≤1.5</w:t>
            </w:r>
          </w:p>
        </w:tc>
        <w:tc>
          <w:tcPr>
            <w:tcW w:w="1126" w:type="pct"/>
            <w:shd w:val="clear" w:color="auto" w:fill="auto"/>
            <w:vAlign w:val="center"/>
          </w:tcPr>
          <w:p w14:paraId="04A4CAAE">
            <w:pPr>
              <w:pStyle w:val="192"/>
              <w:rPr>
                <w:rFonts w:hint="default" w:ascii="Times New Roman" w:hAnsi="Times New Roman" w:cs="Times New Roman"/>
                <w:spacing w:val="-2"/>
              </w:rPr>
            </w:pPr>
            <w:r>
              <w:rPr>
                <w:rFonts w:hint="default" w:ascii="Times New Roman" w:hAnsi="Times New Roman" w:cs="Times New Roman"/>
                <w:spacing w:val="-2"/>
              </w:rPr>
              <w:t>T 0304</w:t>
            </w:r>
          </w:p>
        </w:tc>
      </w:tr>
      <w:tr w14:paraId="4FFD6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3E98B470">
            <w:pPr>
              <w:pStyle w:val="192"/>
              <w:rPr>
                <w:rFonts w:hint="default" w:ascii="Times New Roman" w:hAnsi="Times New Roman" w:cs="Times New Roman"/>
                <w:spacing w:val="-2"/>
              </w:rPr>
            </w:pPr>
            <w:r>
              <w:rPr>
                <w:rFonts w:hint="default" w:ascii="Times New Roman" w:hAnsi="Times New Roman" w:cs="Times New Roman"/>
                <w:snapToGrid w:val="0"/>
              </w:rPr>
              <w:t>与沥青的黏附性</w:t>
            </w:r>
          </w:p>
        </w:tc>
        <w:tc>
          <w:tcPr>
            <w:tcW w:w="739" w:type="pct"/>
            <w:shd w:val="clear" w:color="auto" w:fill="auto"/>
            <w:vAlign w:val="center"/>
          </w:tcPr>
          <w:p w14:paraId="034EFAB1">
            <w:pPr>
              <w:pStyle w:val="192"/>
              <w:rPr>
                <w:rFonts w:hint="default" w:ascii="Times New Roman" w:hAnsi="Times New Roman" w:cs="Times New Roman"/>
                <w:spacing w:val="-2"/>
              </w:rPr>
            </w:pPr>
            <w:r>
              <w:rPr>
                <w:rFonts w:hint="default" w:ascii="Times New Roman" w:hAnsi="Times New Roman" w:cs="Times New Roman"/>
                <w:snapToGrid w:val="0"/>
                <w:lang w:val="pt-PT"/>
              </w:rPr>
              <w:t>级</w:t>
            </w:r>
          </w:p>
        </w:tc>
        <w:tc>
          <w:tcPr>
            <w:tcW w:w="1012" w:type="pct"/>
            <w:shd w:val="clear" w:color="auto" w:fill="auto"/>
            <w:vAlign w:val="center"/>
          </w:tcPr>
          <w:p w14:paraId="07F40F27">
            <w:pPr>
              <w:pStyle w:val="192"/>
              <w:rPr>
                <w:rFonts w:hint="default" w:ascii="Times New Roman" w:hAnsi="Times New Roman" w:cs="Times New Roman"/>
                <w:spacing w:val="-2"/>
              </w:rPr>
            </w:pPr>
            <w:r>
              <w:rPr>
                <w:rFonts w:hint="default" w:ascii="Times New Roman" w:hAnsi="Times New Roman" w:cs="Times New Roman"/>
                <w:snapToGrid w:val="0"/>
              </w:rPr>
              <w:t>5</w:t>
            </w:r>
          </w:p>
        </w:tc>
        <w:tc>
          <w:tcPr>
            <w:tcW w:w="1126" w:type="pct"/>
            <w:shd w:val="clear" w:color="auto" w:fill="auto"/>
            <w:vAlign w:val="center"/>
          </w:tcPr>
          <w:p w14:paraId="38F5FD26">
            <w:pPr>
              <w:pStyle w:val="192"/>
              <w:rPr>
                <w:rFonts w:hint="default" w:ascii="Times New Roman" w:hAnsi="Times New Roman" w:cs="Times New Roman"/>
                <w:spacing w:val="-2"/>
              </w:rPr>
            </w:pPr>
            <w:r>
              <w:rPr>
                <w:rFonts w:hint="default" w:ascii="Times New Roman" w:hAnsi="Times New Roman" w:cs="Times New Roman"/>
                <w:snapToGrid w:val="0"/>
              </w:rPr>
              <w:t>T 0616</w:t>
            </w:r>
          </w:p>
        </w:tc>
      </w:tr>
      <w:tr w14:paraId="4BF21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480623E5">
            <w:pPr>
              <w:pStyle w:val="192"/>
              <w:rPr>
                <w:rFonts w:hint="default" w:ascii="Times New Roman" w:hAnsi="Times New Roman" w:cs="Times New Roman"/>
                <w:spacing w:val="-2"/>
              </w:rPr>
            </w:pPr>
            <w:r>
              <w:rPr>
                <w:rFonts w:hint="default" w:ascii="Times New Roman" w:hAnsi="Times New Roman" w:cs="Times New Roman"/>
                <w:spacing w:val="-2"/>
              </w:rPr>
              <w:t>针片状颗粒含量</w:t>
            </w:r>
          </w:p>
        </w:tc>
        <w:tc>
          <w:tcPr>
            <w:tcW w:w="739" w:type="pct"/>
            <w:shd w:val="clear" w:color="auto" w:fill="auto"/>
            <w:vAlign w:val="center"/>
          </w:tcPr>
          <w:p w14:paraId="2E9BF404">
            <w:pPr>
              <w:pStyle w:val="192"/>
              <w:rPr>
                <w:rFonts w:hint="default" w:ascii="Times New Roman" w:hAnsi="Times New Roman" w:cs="Times New Roman"/>
                <w:spacing w:val="-2"/>
                <w:lang w:val="fr-FR"/>
              </w:rPr>
            </w:pPr>
            <w:r>
              <w:rPr>
                <w:rFonts w:hint="default" w:ascii="Times New Roman" w:hAnsi="Times New Roman" w:cs="Times New Roman"/>
                <w:spacing w:val="-2"/>
                <w:lang w:val="fr-FR"/>
              </w:rPr>
              <w:t>%</w:t>
            </w:r>
          </w:p>
        </w:tc>
        <w:tc>
          <w:tcPr>
            <w:tcW w:w="1012" w:type="pct"/>
            <w:shd w:val="clear" w:color="auto" w:fill="auto"/>
            <w:vAlign w:val="center"/>
          </w:tcPr>
          <w:p w14:paraId="2FECFF8B">
            <w:pPr>
              <w:pStyle w:val="192"/>
              <w:rPr>
                <w:rFonts w:hint="default" w:ascii="Times New Roman" w:hAnsi="Times New Roman" w:cs="Times New Roman"/>
                <w:spacing w:val="-2"/>
              </w:rPr>
            </w:pPr>
            <w:r>
              <w:rPr>
                <w:rFonts w:hint="default" w:ascii="Times New Roman" w:hAnsi="Times New Roman" w:cs="Times New Roman"/>
                <w:spacing w:val="-2"/>
              </w:rPr>
              <w:t>≤10</w:t>
            </w:r>
          </w:p>
        </w:tc>
        <w:tc>
          <w:tcPr>
            <w:tcW w:w="1126" w:type="pct"/>
            <w:shd w:val="clear" w:color="auto" w:fill="auto"/>
            <w:vAlign w:val="center"/>
          </w:tcPr>
          <w:p w14:paraId="321432EA">
            <w:pPr>
              <w:pStyle w:val="192"/>
              <w:rPr>
                <w:rFonts w:hint="default" w:ascii="Times New Roman" w:hAnsi="Times New Roman" w:cs="Times New Roman"/>
                <w:spacing w:val="-2"/>
                <w:lang w:val="fr-FR"/>
              </w:rPr>
            </w:pPr>
            <w:r>
              <w:rPr>
                <w:rFonts w:hint="default" w:ascii="Times New Roman" w:hAnsi="Times New Roman" w:cs="Times New Roman"/>
                <w:spacing w:val="-2"/>
                <w:lang w:val="fr-FR"/>
              </w:rPr>
              <w:t>T 0312</w:t>
            </w:r>
          </w:p>
        </w:tc>
      </w:tr>
      <w:tr w14:paraId="28AA1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2152F7CA">
            <w:pPr>
              <w:pStyle w:val="192"/>
              <w:rPr>
                <w:rFonts w:hint="default" w:ascii="Times New Roman" w:hAnsi="Times New Roman" w:cs="Times New Roman"/>
                <w:spacing w:val="-2"/>
              </w:rPr>
            </w:pPr>
            <w:r>
              <w:rPr>
                <w:rFonts w:hint="default" w:ascii="Times New Roman" w:hAnsi="Times New Roman" w:cs="Times New Roman"/>
                <w:spacing w:val="-2"/>
              </w:rPr>
              <w:t>坚固性</w:t>
            </w:r>
          </w:p>
        </w:tc>
        <w:tc>
          <w:tcPr>
            <w:tcW w:w="739" w:type="pct"/>
            <w:shd w:val="clear" w:color="auto" w:fill="auto"/>
            <w:vAlign w:val="center"/>
          </w:tcPr>
          <w:p w14:paraId="06F8CFF6">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124EC01A">
            <w:pPr>
              <w:pStyle w:val="192"/>
              <w:rPr>
                <w:rFonts w:hint="default" w:ascii="Times New Roman" w:hAnsi="Times New Roman" w:cs="Times New Roman"/>
                <w:spacing w:val="-2"/>
              </w:rPr>
            </w:pPr>
            <w:r>
              <w:rPr>
                <w:rFonts w:hint="default" w:ascii="Times New Roman" w:hAnsi="Times New Roman" w:cs="Times New Roman"/>
                <w:spacing w:val="-2"/>
              </w:rPr>
              <w:t>≤12</w:t>
            </w:r>
          </w:p>
        </w:tc>
        <w:tc>
          <w:tcPr>
            <w:tcW w:w="1126" w:type="pct"/>
            <w:shd w:val="clear" w:color="auto" w:fill="auto"/>
            <w:vAlign w:val="center"/>
          </w:tcPr>
          <w:p w14:paraId="722C4D9B">
            <w:pPr>
              <w:pStyle w:val="192"/>
              <w:rPr>
                <w:rFonts w:hint="default" w:ascii="Times New Roman" w:hAnsi="Times New Roman" w:cs="Times New Roman"/>
                <w:spacing w:val="-2"/>
              </w:rPr>
            </w:pPr>
            <w:r>
              <w:rPr>
                <w:rFonts w:hint="default" w:ascii="Times New Roman" w:hAnsi="Times New Roman" w:cs="Times New Roman"/>
                <w:spacing w:val="-2"/>
              </w:rPr>
              <w:t>T 0314</w:t>
            </w:r>
          </w:p>
        </w:tc>
      </w:tr>
      <w:tr w14:paraId="0A66F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20D824C2">
            <w:pPr>
              <w:pStyle w:val="192"/>
              <w:rPr>
                <w:rFonts w:hint="default" w:ascii="Times New Roman" w:hAnsi="Times New Roman" w:cs="Times New Roman"/>
                <w:spacing w:val="-2"/>
              </w:rPr>
            </w:pPr>
            <w:r>
              <w:rPr>
                <w:rFonts w:hint="default" w:ascii="Times New Roman" w:hAnsi="Times New Roman" w:cs="Times New Roman"/>
                <w:spacing w:val="-2"/>
              </w:rPr>
              <w:t>小于0.075mm颗粒含量</w:t>
            </w:r>
          </w:p>
        </w:tc>
        <w:tc>
          <w:tcPr>
            <w:tcW w:w="739" w:type="pct"/>
            <w:shd w:val="clear" w:color="auto" w:fill="auto"/>
            <w:vAlign w:val="center"/>
          </w:tcPr>
          <w:p w14:paraId="1F06E977">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67373C8A">
            <w:pPr>
              <w:pStyle w:val="192"/>
              <w:rPr>
                <w:rFonts w:hint="default" w:ascii="Times New Roman" w:hAnsi="Times New Roman" w:cs="Times New Roman"/>
                <w:spacing w:val="-2"/>
              </w:rPr>
            </w:pPr>
            <w:r>
              <w:rPr>
                <w:rFonts w:hint="default" w:ascii="Times New Roman" w:hAnsi="Times New Roman" w:cs="Times New Roman"/>
                <w:spacing w:val="-2"/>
              </w:rPr>
              <w:t>≤1</w:t>
            </w:r>
          </w:p>
        </w:tc>
        <w:tc>
          <w:tcPr>
            <w:tcW w:w="1126" w:type="pct"/>
            <w:shd w:val="clear" w:color="auto" w:fill="auto"/>
            <w:vAlign w:val="center"/>
          </w:tcPr>
          <w:p w14:paraId="4D1A70D2">
            <w:pPr>
              <w:pStyle w:val="192"/>
              <w:rPr>
                <w:rFonts w:hint="default" w:ascii="Times New Roman" w:hAnsi="Times New Roman" w:cs="Times New Roman"/>
                <w:spacing w:val="-2"/>
              </w:rPr>
            </w:pPr>
            <w:r>
              <w:rPr>
                <w:rFonts w:hint="default" w:ascii="Times New Roman" w:hAnsi="Times New Roman" w:cs="Times New Roman"/>
                <w:spacing w:val="-2"/>
              </w:rPr>
              <w:t>T 0310</w:t>
            </w:r>
          </w:p>
        </w:tc>
      </w:tr>
      <w:tr w14:paraId="3E318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2123" w:type="pct"/>
            <w:shd w:val="clear" w:color="auto" w:fill="auto"/>
            <w:vAlign w:val="center"/>
          </w:tcPr>
          <w:p w14:paraId="2B2B9049">
            <w:pPr>
              <w:pStyle w:val="192"/>
              <w:rPr>
                <w:rFonts w:hint="default" w:ascii="Times New Roman" w:hAnsi="Times New Roman" w:cs="Times New Roman"/>
                <w:spacing w:val="-2"/>
              </w:rPr>
            </w:pPr>
            <w:r>
              <w:rPr>
                <w:rFonts w:hint="default" w:ascii="Times New Roman" w:hAnsi="Times New Roman" w:cs="Times New Roman"/>
                <w:spacing w:val="-2"/>
              </w:rPr>
              <w:t>软石含量</w:t>
            </w:r>
          </w:p>
        </w:tc>
        <w:tc>
          <w:tcPr>
            <w:tcW w:w="739" w:type="pct"/>
            <w:shd w:val="clear" w:color="auto" w:fill="auto"/>
            <w:vAlign w:val="center"/>
          </w:tcPr>
          <w:p w14:paraId="414B0587">
            <w:pPr>
              <w:pStyle w:val="192"/>
              <w:rPr>
                <w:rFonts w:hint="default" w:ascii="Times New Roman" w:hAnsi="Times New Roman" w:cs="Times New Roman"/>
                <w:spacing w:val="-2"/>
              </w:rPr>
            </w:pPr>
            <w:r>
              <w:rPr>
                <w:rFonts w:hint="default" w:ascii="Times New Roman" w:hAnsi="Times New Roman" w:cs="Times New Roman"/>
                <w:spacing w:val="-2"/>
              </w:rPr>
              <w:t>%</w:t>
            </w:r>
          </w:p>
        </w:tc>
        <w:tc>
          <w:tcPr>
            <w:tcW w:w="1012" w:type="pct"/>
            <w:shd w:val="clear" w:color="auto" w:fill="auto"/>
            <w:vAlign w:val="center"/>
          </w:tcPr>
          <w:p w14:paraId="761FF10B">
            <w:pPr>
              <w:pStyle w:val="192"/>
              <w:rPr>
                <w:rFonts w:hint="default" w:ascii="Times New Roman" w:hAnsi="Times New Roman" w:cs="Times New Roman"/>
                <w:spacing w:val="-2"/>
              </w:rPr>
            </w:pPr>
            <w:r>
              <w:rPr>
                <w:rFonts w:hint="default" w:ascii="Times New Roman" w:hAnsi="Times New Roman" w:cs="Times New Roman"/>
                <w:spacing w:val="-2"/>
              </w:rPr>
              <w:t>≤1</w:t>
            </w:r>
          </w:p>
        </w:tc>
        <w:tc>
          <w:tcPr>
            <w:tcW w:w="1126" w:type="pct"/>
            <w:shd w:val="clear" w:color="auto" w:fill="auto"/>
            <w:vAlign w:val="center"/>
          </w:tcPr>
          <w:p w14:paraId="426F2D81">
            <w:pPr>
              <w:pStyle w:val="192"/>
              <w:rPr>
                <w:rFonts w:hint="default" w:ascii="Times New Roman" w:hAnsi="Times New Roman" w:cs="Times New Roman"/>
                <w:spacing w:val="-2"/>
              </w:rPr>
            </w:pPr>
            <w:r>
              <w:rPr>
                <w:rFonts w:hint="default" w:ascii="Times New Roman" w:hAnsi="Times New Roman" w:cs="Times New Roman"/>
                <w:spacing w:val="-2"/>
              </w:rPr>
              <w:t>T 0320</w:t>
            </w:r>
          </w:p>
        </w:tc>
      </w:tr>
    </w:tbl>
    <w:p w14:paraId="0D18D71A">
      <w:pPr>
        <w:ind w:firstLine="482" w:firstLineChars="200"/>
        <w:rPr>
          <w:rFonts w:hint="default" w:ascii="Times New Roman" w:hAnsi="Times New Roman" w:eastAsia="楷体" w:cs="Times New Roman"/>
          <w:b/>
          <w:bCs/>
          <w:sz w:val="24"/>
        </w:rPr>
      </w:pPr>
      <w:r>
        <w:rPr>
          <w:rFonts w:hint="default" w:ascii="Times New Roman" w:hAnsi="Times New Roman" w:eastAsia="楷体" w:cs="Times New Roman"/>
          <w:b/>
          <w:bCs/>
          <w:sz w:val="24"/>
        </w:rPr>
        <w:t>条文说明</w:t>
      </w:r>
    </w:p>
    <w:p w14:paraId="0D00AE15">
      <w:pPr>
        <w:ind w:firstLine="480" w:firstLineChars="200"/>
        <w:rPr>
          <w:rFonts w:hint="default" w:ascii="Times New Roman" w:hAnsi="Times New Roman" w:eastAsia="楷体" w:cs="Times New Roman"/>
          <w:sz w:val="24"/>
        </w:rPr>
      </w:pPr>
      <w:r>
        <w:rPr>
          <w:rFonts w:hint="default" w:ascii="Times New Roman" w:hAnsi="Times New Roman" w:eastAsia="楷体" w:cs="Times New Roman"/>
          <w:sz w:val="24"/>
        </w:rPr>
        <w:t>T0316压碎值及T0321磨光值试验中要求使用9.5-13.2mm的集料，而超薄罩面主要使用5mm~10mm或3mm~5mm作为粗集料，应送同批次母岩的10mm~15mm规格集料进行相应试验。</w:t>
      </w:r>
    </w:p>
    <w:p w14:paraId="6E23007E">
      <w:pPr>
        <w:numPr>
          <w:ilvl w:val="2"/>
          <w:numId w:val="17"/>
        </w:numPr>
        <w:spacing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粗集料的粒径规格应符合表5.4.2的规定。</w:t>
      </w:r>
    </w:p>
    <w:p w14:paraId="4FD6C9B3">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表5.4.2 粗集料粒径规格要求</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179"/>
        <w:gridCol w:w="1230"/>
        <w:gridCol w:w="1230"/>
        <w:gridCol w:w="1232"/>
        <w:gridCol w:w="1230"/>
        <w:gridCol w:w="1235"/>
      </w:tblGrid>
      <w:tr w14:paraId="00A9D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7" w:type="pct"/>
            <w:vMerge w:val="restart"/>
            <w:shd w:val="clear" w:color="auto" w:fill="auto"/>
            <w:vAlign w:val="center"/>
          </w:tcPr>
          <w:p w14:paraId="7E04AF77">
            <w:pPr>
              <w:pStyle w:val="192"/>
              <w:rPr>
                <w:rFonts w:hint="default" w:ascii="Times New Roman" w:hAnsi="Times New Roman" w:cs="Times New Roman"/>
                <w:spacing w:val="-2"/>
                <w:szCs w:val="18"/>
              </w:rPr>
            </w:pPr>
            <w:r>
              <w:rPr>
                <w:rFonts w:hint="default" w:ascii="Times New Roman" w:hAnsi="Times New Roman" w:cs="Times New Roman"/>
                <w:spacing w:val="-2"/>
                <w:szCs w:val="18"/>
              </w:rPr>
              <w:t>公称粒径（mm）</w:t>
            </w:r>
          </w:p>
        </w:tc>
        <w:tc>
          <w:tcPr>
            <w:tcW w:w="3693" w:type="pct"/>
            <w:gridSpan w:val="5"/>
            <w:shd w:val="clear" w:color="auto" w:fill="auto"/>
            <w:vAlign w:val="center"/>
          </w:tcPr>
          <w:p w14:paraId="14CC6776">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通过下列筛孔（方孔筛mm）的质量百分率（％）</w:t>
            </w:r>
          </w:p>
        </w:tc>
      </w:tr>
      <w:tr w14:paraId="4B7FC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7" w:type="pct"/>
            <w:vMerge w:val="continue"/>
            <w:shd w:val="clear" w:color="auto" w:fill="auto"/>
            <w:vAlign w:val="center"/>
          </w:tcPr>
          <w:p w14:paraId="0FAFDE31">
            <w:pPr>
              <w:pStyle w:val="192"/>
              <w:rPr>
                <w:rFonts w:hint="default" w:ascii="Times New Roman" w:hAnsi="Times New Roman" w:cs="Times New Roman"/>
                <w:spacing w:val="-2"/>
                <w:szCs w:val="18"/>
              </w:rPr>
            </w:pPr>
          </w:p>
        </w:tc>
        <w:tc>
          <w:tcPr>
            <w:tcW w:w="738" w:type="pct"/>
            <w:shd w:val="clear" w:color="auto" w:fill="auto"/>
            <w:vAlign w:val="center"/>
          </w:tcPr>
          <w:p w14:paraId="68EBBEEA">
            <w:pPr>
              <w:pStyle w:val="192"/>
              <w:rPr>
                <w:rFonts w:hint="default" w:ascii="Times New Roman" w:hAnsi="Times New Roman" w:cs="Times New Roman"/>
                <w:spacing w:val="-2"/>
                <w:szCs w:val="18"/>
              </w:rPr>
            </w:pPr>
            <w:r>
              <w:rPr>
                <w:rFonts w:hint="default" w:ascii="Times New Roman" w:hAnsi="Times New Roman" w:cs="Times New Roman"/>
                <w:spacing w:val="-2"/>
                <w:szCs w:val="18"/>
              </w:rPr>
              <w:t>13.2</w:t>
            </w:r>
          </w:p>
        </w:tc>
        <w:tc>
          <w:tcPr>
            <w:tcW w:w="738" w:type="pct"/>
            <w:shd w:val="clear" w:color="auto" w:fill="auto"/>
            <w:vAlign w:val="center"/>
          </w:tcPr>
          <w:p w14:paraId="3707F66E">
            <w:pPr>
              <w:pStyle w:val="192"/>
              <w:rPr>
                <w:rFonts w:hint="default" w:ascii="Times New Roman" w:hAnsi="Times New Roman" w:cs="Times New Roman"/>
                <w:spacing w:val="-2"/>
                <w:szCs w:val="18"/>
              </w:rPr>
            </w:pPr>
            <w:r>
              <w:rPr>
                <w:rFonts w:hint="default" w:ascii="Times New Roman" w:hAnsi="Times New Roman" w:cs="Times New Roman"/>
                <w:spacing w:val="-2"/>
                <w:szCs w:val="18"/>
              </w:rPr>
              <w:t>9.5</w:t>
            </w:r>
          </w:p>
        </w:tc>
        <w:tc>
          <w:tcPr>
            <w:tcW w:w="739" w:type="pct"/>
            <w:shd w:val="clear" w:color="auto" w:fill="auto"/>
            <w:vAlign w:val="center"/>
          </w:tcPr>
          <w:p w14:paraId="4785ACD5">
            <w:pPr>
              <w:pStyle w:val="192"/>
              <w:rPr>
                <w:rFonts w:hint="default" w:ascii="Times New Roman" w:hAnsi="Times New Roman" w:cs="Times New Roman"/>
                <w:spacing w:val="-2"/>
                <w:szCs w:val="18"/>
              </w:rPr>
            </w:pPr>
            <w:r>
              <w:rPr>
                <w:rFonts w:hint="default" w:ascii="Times New Roman" w:hAnsi="Times New Roman" w:cs="Times New Roman"/>
                <w:spacing w:val="-2"/>
                <w:szCs w:val="18"/>
              </w:rPr>
              <w:t>4.75</w:t>
            </w:r>
          </w:p>
        </w:tc>
        <w:tc>
          <w:tcPr>
            <w:tcW w:w="738" w:type="pct"/>
            <w:shd w:val="clear" w:color="auto" w:fill="auto"/>
            <w:vAlign w:val="center"/>
          </w:tcPr>
          <w:p w14:paraId="6E443D2B">
            <w:pPr>
              <w:pStyle w:val="192"/>
              <w:rPr>
                <w:rFonts w:hint="default" w:ascii="Times New Roman" w:hAnsi="Times New Roman" w:cs="Times New Roman"/>
                <w:spacing w:val="-2"/>
                <w:szCs w:val="18"/>
              </w:rPr>
            </w:pPr>
            <w:r>
              <w:rPr>
                <w:rFonts w:hint="default" w:ascii="Times New Roman" w:hAnsi="Times New Roman" w:cs="Times New Roman"/>
                <w:spacing w:val="-2"/>
                <w:szCs w:val="18"/>
              </w:rPr>
              <w:t>2.36</w:t>
            </w:r>
          </w:p>
        </w:tc>
        <w:tc>
          <w:tcPr>
            <w:tcW w:w="739" w:type="pct"/>
            <w:shd w:val="clear" w:color="auto" w:fill="auto"/>
            <w:vAlign w:val="center"/>
          </w:tcPr>
          <w:p w14:paraId="4AEB9A00">
            <w:pPr>
              <w:pStyle w:val="192"/>
              <w:rPr>
                <w:rFonts w:hint="default" w:ascii="Times New Roman" w:hAnsi="Times New Roman" w:cs="Times New Roman"/>
                <w:spacing w:val="-2"/>
                <w:szCs w:val="18"/>
              </w:rPr>
            </w:pPr>
            <w:r>
              <w:rPr>
                <w:rFonts w:hint="default" w:ascii="Times New Roman" w:hAnsi="Times New Roman" w:cs="Times New Roman"/>
                <w:spacing w:val="-2"/>
                <w:szCs w:val="18"/>
              </w:rPr>
              <w:t>0.6</w:t>
            </w:r>
          </w:p>
        </w:tc>
      </w:tr>
      <w:tr w14:paraId="31DA0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7" w:type="pct"/>
            <w:shd w:val="clear" w:color="auto" w:fill="auto"/>
            <w:vAlign w:val="center"/>
          </w:tcPr>
          <w:p w14:paraId="7F8556BE">
            <w:pPr>
              <w:pStyle w:val="192"/>
              <w:rPr>
                <w:rFonts w:hint="default" w:ascii="Times New Roman" w:hAnsi="Times New Roman" w:cs="Times New Roman"/>
                <w:spacing w:val="-2"/>
                <w:szCs w:val="18"/>
              </w:rPr>
            </w:pPr>
            <w:r>
              <w:rPr>
                <w:rFonts w:hint="default" w:ascii="Times New Roman" w:hAnsi="Times New Roman" w:cs="Times New Roman"/>
                <w:spacing w:val="-2"/>
                <w:szCs w:val="18"/>
              </w:rPr>
              <w:t>5~10</w:t>
            </w:r>
          </w:p>
        </w:tc>
        <w:tc>
          <w:tcPr>
            <w:tcW w:w="738" w:type="pct"/>
            <w:shd w:val="clear" w:color="auto" w:fill="auto"/>
            <w:vAlign w:val="center"/>
          </w:tcPr>
          <w:p w14:paraId="395DA77E">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738" w:type="pct"/>
            <w:shd w:val="clear" w:color="auto" w:fill="auto"/>
            <w:vAlign w:val="center"/>
          </w:tcPr>
          <w:p w14:paraId="58EF58F9">
            <w:pPr>
              <w:pStyle w:val="192"/>
              <w:rPr>
                <w:rFonts w:hint="default" w:ascii="Times New Roman" w:hAnsi="Times New Roman" w:cs="Times New Roman"/>
                <w:spacing w:val="-2"/>
                <w:szCs w:val="18"/>
              </w:rPr>
            </w:pPr>
            <w:r>
              <w:rPr>
                <w:rFonts w:hint="default" w:ascii="Times New Roman" w:hAnsi="Times New Roman" w:cs="Times New Roman"/>
                <w:spacing w:val="-2"/>
                <w:szCs w:val="18"/>
              </w:rPr>
              <w:t>90~100</w:t>
            </w:r>
          </w:p>
        </w:tc>
        <w:tc>
          <w:tcPr>
            <w:tcW w:w="739" w:type="pct"/>
            <w:shd w:val="clear" w:color="auto" w:fill="auto"/>
            <w:vAlign w:val="center"/>
          </w:tcPr>
          <w:p w14:paraId="71353E3E">
            <w:pPr>
              <w:pStyle w:val="192"/>
              <w:rPr>
                <w:rFonts w:hint="default" w:ascii="Times New Roman" w:hAnsi="Times New Roman" w:cs="Times New Roman"/>
                <w:spacing w:val="-2"/>
                <w:szCs w:val="18"/>
              </w:rPr>
            </w:pPr>
            <w:r>
              <w:rPr>
                <w:rFonts w:hint="default" w:ascii="Times New Roman" w:hAnsi="Times New Roman" w:cs="Times New Roman"/>
                <w:spacing w:val="-2"/>
                <w:szCs w:val="18"/>
              </w:rPr>
              <w:t>0~15</w:t>
            </w:r>
          </w:p>
        </w:tc>
        <w:tc>
          <w:tcPr>
            <w:tcW w:w="738" w:type="pct"/>
            <w:shd w:val="clear" w:color="auto" w:fill="auto"/>
            <w:vAlign w:val="center"/>
          </w:tcPr>
          <w:p w14:paraId="22A1BF0B">
            <w:pPr>
              <w:pStyle w:val="192"/>
              <w:rPr>
                <w:rFonts w:hint="default" w:ascii="Times New Roman" w:hAnsi="Times New Roman" w:cs="Times New Roman"/>
                <w:spacing w:val="-2"/>
                <w:szCs w:val="18"/>
              </w:rPr>
            </w:pPr>
            <w:r>
              <w:rPr>
                <w:rFonts w:hint="default" w:ascii="Times New Roman" w:hAnsi="Times New Roman" w:cs="Times New Roman"/>
                <w:spacing w:val="-2"/>
                <w:szCs w:val="18"/>
              </w:rPr>
              <w:t>0~5</w:t>
            </w:r>
          </w:p>
        </w:tc>
        <w:tc>
          <w:tcPr>
            <w:tcW w:w="739" w:type="pct"/>
            <w:shd w:val="clear" w:color="auto" w:fill="auto"/>
            <w:vAlign w:val="center"/>
          </w:tcPr>
          <w:p w14:paraId="322ADFD7">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r>
      <w:tr w14:paraId="224A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307" w:type="pct"/>
            <w:shd w:val="clear" w:color="auto" w:fill="auto"/>
            <w:vAlign w:val="center"/>
          </w:tcPr>
          <w:p w14:paraId="13A21946">
            <w:pPr>
              <w:pStyle w:val="192"/>
              <w:rPr>
                <w:rFonts w:hint="default" w:ascii="Times New Roman" w:hAnsi="Times New Roman" w:cs="Times New Roman"/>
                <w:spacing w:val="-2"/>
                <w:szCs w:val="18"/>
              </w:rPr>
            </w:pPr>
            <w:r>
              <w:rPr>
                <w:rFonts w:hint="default" w:ascii="Times New Roman" w:hAnsi="Times New Roman" w:cs="Times New Roman"/>
                <w:spacing w:val="-2"/>
                <w:szCs w:val="18"/>
              </w:rPr>
              <w:t>3~5</w:t>
            </w:r>
          </w:p>
        </w:tc>
        <w:tc>
          <w:tcPr>
            <w:tcW w:w="738" w:type="pct"/>
            <w:shd w:val="clear" w:color="auto" w:fill="auto"/>
            <w:vAlign w:val="center"/>
          </w:tcPr>
          <w:p w14:paraId="4CB051AB">
            <w:pPr>
              <w:pStyle w:val="192"/>
              <w:rPr>
                <w:rFonts w:hint="default" w:ascii="Times New Roman" w:hAnsi="Times New Roman" w:cs="Times New Roman"/>
                <w:spacing w:val="-2"/>
                <w:szCs w:val="18"/>
              </w:rPr>
            </w:pPr>
          </w:p>
        </w:tc>
        <w:tc>
          <w:tcPr>
            <w:tcW w:w="738" w:type="pct"/>
            <w:shd w:val="clear" w:color="auto" w:fill="auto"/>
            <w:vAlign w:val="center"/>
          </w:tcPr>
          <w:p w14:paraId="2339F2A7">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739" w:type="pct"/>
            <w:shd w:val="clear" w:color="auto" w:fill="auto"/>
            <w:vAlign w:val="center"/>
          </w:tcPr>
          <w:p w14:paraId="011EA8DE">
            <w:pPr>
              <w:pStyle w:val="192"/>
              <w:rPr>
                <w:rFonts w:hint="default" w:ascii="Times New Roman" w:hAnsi="Times New Roman" w:cs="Times New Roman"/>
                <w:spacing w:val="-2"/>
                <w:szCs w:val="18"/>
              </w:rPr>
            </w:pPr>
            <w:r>
              <w:rPr>
                <w:rFonts w:hint="default" w:ascii="Times New Roman" w:hAnsi="Times New Roman" w:cs="Times New Roman"/>
                <w:spacing w:val="-2"/>
                <w:szCs w:val="18"/>
              </w:rPr>
              <w:t>90~100</w:t>
            </w:r>
          </w:p>
        </w:tc>
        <w:tc>
          <w:tcPr>
            <w:tcW w:w="738" w:type="pct"/>
            <w:shd w:val="clear" w:color="auto" w:fill="auto"/>
            <w:vAlign w:val="center"/>
          </w:tcPr>
          <w:p w14:paraId="104108F8">
            <w:pPr>
              <w:pStyle w:val="192"/>
              <w:rPr>
                <w:rFonts w:hint="default" w:ascii="Times New Roman" w:hAnsi="Times New Roman" w:cs="Times New Roman"/>
                <w:spacing w:val="-2"/>
                <w:szCs w:val="18"/>
              </w:rPr>
            </w:pPr>
            <w:r>
              <w:rPr>
                <w:rFonts w:hint="default" w:ascii="Times New Roman" w:hAnsi="Times New Roman" w:cs="Times New Roman"/>
                <w:spacing w:val="-2"/>
                <w:szCs w:val="18"/>
              </w:rPr>
              <w:t>0~15</w:t>
            </w:r>
          </w:p>
        </w:tc>
        <w:tc>
          <w:tcPr>
            <w:tcW w:w="739" w:type="pct"/>
            <w:shd w:val="clear" w:color="auto" w:fill="auto"/>
            <w:vAlign w:val="center"/>
          </w:tcPr>
          <w:p w14:paraId="2A01CE0A">
            <w:pPr>
              <w:pStyle w:val="192"/>
              <w:rPr>
                <w:rFonts w:hint="default" w:ascii="Times New Roman" w:hAnsi="Times New Roman" w:cs="Times New Roman"/>
                <w:spacing w:val="-2"/>
                <w:szCs w:val="18"/>
              </w:rPr>
            </w:pPr>
            <w:r>
              <w:rPr>
                <w:rFonts w:hint="default" w:ascii="Times New Roman" w:hAnsi="Times New Roman" w:cs="Times New Roman"/>
                <w:spacing w:val="-2"/>
                <w:szCs w:val="18"/>
              </w:rPr>
              <w:t>0~4</w:t>
            </w:r>
          </w:p>
        </w:tc>
      </w:tr>
    </w:tbl>
    <w:p w14:paraId="406632AB">
      <w:pPr>
        <w:numPr>
          <w:ilvl w:val="2"/>
          <w:numId w:val="17"/>
        </w:numPr>
        <w:spacing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细集料宜采用石灰岩或岩浆岩中的强基性岩石经制砂机破碎得到的</w:t>
      </w:r>
      <w:bookmarkStart w:id="85" w:name="_GoBack"/>
      <w:bookmarkEnd w:id="85"/>
      <w:r>
        <w:rPr>
          <w:rFonts w:hint="default" w:ascii="Times New Roman" w:hAnsi="Times New Roman" w:cs="Times New Roman"/>
          <w:sz w:val="24"/>
          <w:szCs w:val="32"/>
        </w:rPr>
        <w:t>机制砂，与沥青具有良好的黏结能力。细集料应符合表5.4.3的规定。</w:t>
      </w:r>
    </w:p>
    <w:p w14:paraId="4DCE0C95">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表5.4.3 细集料技术指标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24"/>
        <w:gridCol w:w="1327"/>
        <w:gridCol w:w="1897"/>
        <w:gridCol w:w="2088"/>
      </w:tblGrid>
      <w:tr w14:paraId="76DEA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74C580B6">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试验项目</w:t>
            </w:r>
          </w:p>
        </w:tc>
        <w:tc>
          <w:tcPr>
            <w:tcW w:w="796" w:type="pct"/>
            <w:shd w:val="clear" w:color="auto" w:fill="auto"/>
            <w:vAlign w:val="center"/>
          </w:tcPr>
          <w:p w14:paraId="57E7C0B3">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138" w:type="pct"/>
            <w:shd w:val="clear" w:color="auto" w:fill="auto"/>
            <w:vAlign w:val="center"/>
          </w:tcPr>
          <w:p w14:paraId="70D87328">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252" w:type="pct"/>
            <w:shd w:val="clear" w:color="auto" w:fill="auto"/>
            <w:vAlign w:val="center"/>
          </w:tcPr>
          <w:p w14:paraId="3AC6C775">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1AD38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exact"/>
          <w:jc w:val="center"/>
        </w:trPr>
        <w:tc>
          <w:tcPr>
            <w:tcW w:w="1814" w:type="pct"/>
            <w:shd w:val="clear" w:color="auto" w:fill="auto"/>
            <w:vAlign w:val="center"/>
          </w:tcPr>
          <w:p w14:paraId="577EDCB5">
            <w:pPr>
              <w:pStyle w:val="192"/>
              <w:rPr>
                <w:rFonts w:hint="default" w:ascii="Times New Roman" w:hAnsi="Times New Roman" w:cs="Times New Roman"/>
                <w:spacing w:val="-2"/>
                <w:szCs w:val="18"/>
              </w:rPr>
            </w:pPr>
            <w:r>
              <w:rPr>
                <w:rFonts w:hint="default" w:ascii="Times New Roman" w:hAnsi="Times New Roman" w:cs="Times New Roman"/>
                <w:spacing w:val="-2"/>
                <w:szCs w:val="18"/>
              </w:rPr>
              <w:t>砂当量</w:t>
            </w:r>
          </w:p>
        </w:tc>
        <w:tc>
          <w:tcPr>
            <w:tcW w:w="796" w:type="pct"/>
            <w:shd w:val="clear" w:color="auto" w:fill="auto"/>
            <w:vAlign w:val="center"/>
          </w:tcPr>
          <w:p w14:paraId="38E600DE">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38" w:type="pct"/>
            <w:shd w:val="clear" w:color="auto" w:fill="auto"/>
            <w:vAlign w:val="center"/>
          </w:tcPr>
          <w:p w14:paraId="6ABC1AD0">
            <w:pPr>
              <w:pStyle w:val="192"/>
              <w:rPr>
                <w:rFonts w:hint="default" w:ascii="Times New Roman" w:hAnsi="Times New Roman" w:cs="Times New Roman"/>
                <w:spacing w:val="-2"/>
                <w:szCs w:val="18"/>
              </w:rPr>
            </w:pPr>
            <w:r>
              <w:rPr>
                <w:rFonts w:hint="default" w:ascii="Times New Roman" w:hAnsi="Times New Roman" w:cs="Times New Roman"/>
                <w:spacing w:val="-2"/>
                <w:szCs w:val="18"/>
              </w:rPr>
              <w:t>≥65</w:t>
            </w:r>
          </w:p>
        </w:tc>
        <w:tc>
          <w:tcPr>
            <w:tcW w:w="1252" w:type="pct"/>
            <w:shd w:val="clear" w:color="auto" w:fill="auto"/>
            <w:vAlign w:val="center"/>
          </w:tcPr>
          <w:p w14:paraId="4D5D996B">
            <w:pPr>
              <w:pStyle w:val="192"/>
              <w:rPr>
                <w:rFonts w:hint="default" w:ascii="Times New Roman" w:hAnsi="Times New Roman" w:cs="Times New Roman"/>
                <w:spacing w:val="-2"/>
                <w:szCs w:val="18"/>
                <w:lang w:val="fr-FR"/>
              </w:rPr>
            </w:pPr>
            <w:r>
              <w:rPr>
                <w:rFonts w:hint="default" w:ascii="Times New Roman" w:hAnsi="Times New Roman" w:cs="Times New Roman"/>
                <w:spacing w:val="-2"/>
                <w:szCs w:val="18"/>
                <w:lang w:val="fr-FR"/>
              </w:rPr>
              <w:t>T 0334</w:t>
            </w:r>
          </w:p>
        </w:tc>
      </w:tr>
      <w:tr w14:paraId="0E4A0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3F17221B">
            <w:pPr>
              <w:pStyle w:val="192"/>
              <w:rPr>
                <w:rFonts w:hint="default" w:ascii="Times New Roman" w:hAnsi="Times New Roman" w:cs="Times New Roman"/>
                <w:spacing w:val="-2"/>
                <w:szCs w:val="18"/>
              </w:rPr>
            </w:pPr>
            <w:r>
              <w:rPr>
                <w:rFonts w:hint="default" w:ascii="Times New Roman" w:hAnsi="Times New Roman" w:cs="Times New Roman"/>
                <w:spacing w:val="-2"/>
                <w:szCs w:val="18"/>
              </w:rPr>
              <w:t>细集料棱角性试验</w:t>
            </w:r>
          </w:p>
        </w:tc>
        <w:tc>
          <w:tcPr>
            <w:tcW w:w="796" w:type="pct"/>
            <w:shd w:val="clear" w:color="auto" w:fill="auto"/>
            <w:vAlign w:val="center"/>
          </w:tcPr>
          <w:p w14:paraId="758444AA">
            <w:pPr>
              <w:pStyle w:val="192"/>
              <w:rPr>
                <w:rFonts w:hint="default" w:ascii="Times New Roman" w:hAnsi="Times New Roman" w:cs="Times New Roman"/>
                <w:spacing w:val="-2"/>
                <w:szCs w:val="18"/>
              </w:rPr>
            </w:pPr>
            <w:r>
              <w:rPr>
                <w:rFonts w:hint="default" w:ascii="Times New Roman" w:hAnsi="Times New Roman" w:cs="Times New Roman"/>
                <w:spacing w:val="-2"/>
                <w:szCs w:val="18"/>
              </w:rPr>
              <w:t>s</w:t>
            </w:r>
          </w:p>
        </w:tc>
        <w:tc>
          <w:tcPr>
            <w:tcW w:w="1138" w:type="pct"/>
            <w:shd w:val="clear" w:color="auto" w:fill="auto"/>
            <w:vAlign w:val="center"/>
          </w:tcPr>
          <w:p w14:paraId="6E4B2C4F">
            <w:pPr>
              <w:pStyle w:val="192"/>
              <w:rPr>
                <w:rFonts w:hint="default" w:ascii="Times New Roman" w:hAnsi="Times New Roman" w:cs="Times New Roman"/>
                <w:spacing w:val="-2"/>
                <w:szCs w:val="18"/>
              </w:rPr>
            </w:pPr>
            <w:r>
              <w:rPr>
                <w:rFonts w:hint="default" w:ascii="Times New Roman" w:hAnsi="Times New Roman" w:cs="Times New Roman"/>
                <w:spacing w:val="-2"/>
                <w:szCs w:val="18"/>
              </w:rPr>
              <w:t>≥40</w:t>
            </w:r>
          </w:p>
        </w:tc>
        <w:tc>
          <w:tcPr>
            <w:tcW w:w="1252" w:type="pct"/>
            <w:shd w:val="clear" w:color="auto" w:fill="auto"/>
            <w:vAlign w:val="center"/>
          </w:tcPr>
          <w:p w14:paraId="54EFCAF5">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0344</w:t>
            </w:r>
          </w:p>
        </w:tc>
      </w:tr>
      <w:tr w14:paraId="4A6C0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4909B6B4">
            <w:pPr>
              <w:pStyle w:val="192"/>
              <w:rPr>
                <w:rFonts w:hint="default" w:ascii="Times New Roman" w:hAnsi="Times New Roman" w:cs="Times New Roman"/>
                <w:spacing w:val="-2"/>
                <w:szCs w:val="18"/>
              </w:rPr>
            </w:pPr>
            <w:r>
              <w:rPr>
                <w:rFonts w:hint="default" w:ascii="Times New Roman" w:hAnsi="Times New Roman" w:cs="Times New Roman"/>
                <w:spacing w:val="-2"/>
                <w:szCs w:val="18"/>
              </w:rPr>
              <w:t>表观相对密度</w:t>
            </w:r>
          </w:p>
        </w:tc>
        <w:tc>
          <w:tcPr>
            <w:tcW w:w="796" w:type="pct"/>
            <w:shd w:val="clear" w:color="auto" w:fill="auto"/>
            <w:vAlign w:val="center"/>
          </w:tcPr>
          <w:p w14:paraId="14B30683">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38" w:type="pct"/>
            <w:shd w:val="clear" w:color="auto" w:fill="auto"/>
            <w:vAlign w:val="center"/>
          </w:tcPr>
          <w:p w14:paraId="330D9161">
            <w:pPr>
              <w:pStyle w:val="192"/>
              <w:rPr>
                <w:rFonts w:hint="default" w:ascii="Times New Roman" w:hAnsi="Times New Roman" w:cs="Times New Roman"/>
                <w:spacing w:val="-2"/>
                <w:szCs w:val="18"/>
              </w:rPr>
            </w:pPr>
            <w:r>
              <w:rPr>
                <w:rFonts w:hint="default" w:ascii="Times New Roman" w:hAnsi="Times New Roman" w:cs="Times New Roman"/>
                <w:spacing w:val="-2"/>
                <w:szCs w:val="18"/>
              </w:rPr>
              <w:t>≥2.5</w:t>
            </w:r>
          </w:p>
        </w:tc>
        <w:tc>
          <w:tcPr>
            <w:tcW w:w="1252" w:type="pct"/>
            <w:shd w:val="clear" w:color="auto" w:fill="auto"/>
            <w:vAlign w:val="center"/>
          </w:tcPr>
          <w:p w14:paraId="2A8EFC26">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0328</w:t>
            </w:r>
          </w:p>
        </w:tc>
      </w:tr>
      <w:tr w14:paraId="77B03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2CC8E9A9">
            <w:pPr>
              <w:pStyle w:val="192"/>
              <w:rPr>
                <w:rFonts w:hint="default" w:ascii="Times New Roman" w:hAnsi="Times New Roman" w:cs="Times New Roman"/>
                <w:spacing w:val="-2"/>
                <w:szCs w:val="18"/>
              </w:rPr>
            </w:pPr>
            <w:r>
              <w:rPr>
                <w:rFonts w:hint="default" w:ascii="Times New Roman" w:hAnsi="Times New Roman" w:cs="Times New Roman"/>
                <w:spacing w:val="-2"/>
                <w:szCs w:val="18"/>
              </w:rPr>
              <w:t>亚甲蓝值</w:t>
            </w:r>
          </w:p>
        </w:tc>
        <w:tc>
          <w:tcPr>
            <w:tcW w:w="796" w:type="pct"/>
            <w:shd w:val="clear" w:color="auto" w:fill="auto"/>
            <w:vAlign w:val="center"/>
          </w:tcPr>
          <w:p w14:paraId="32B8D60E">
            <w:pPr>
              <w:pStyle w:val="192"/>
              <w:rPr>
                <w:rFonts w:hint="default" w:ascii="Times New Roman" w:hAnsi="Times New Roman" w:cs="Times New Roman"/>
                <w:spacing w:val="-2"/>
                <w:szCs w:val="18"/>
              </w:rPr>
            </w:pPr>
            <w:r>
              <w:rPr>
                <w:rFonts w:hint="default" w:ascii="Times New Roman" w:hAnsi="Times New Roman" w:cs="Times New Roman"/>
                <w:spacing w:val="-2"/>
                <w:szCs w:val="18"/>
              </w:rPr>
              <w:t>g/kg</w:t>
            </w:r>
          </w:p>
        </w:tc>
        <w:tc>
          <w:tcPr>
            <w:tcW w:w="1138" w:type="pct"/>
            <w:shd w:val="clear" w:color="auto" w:fill="auto"/>
            <w:vAlign w:val="center"/>
          </w:tcPr>
          <w:p w14:paraId="77F8B2DF">
            <w:pPr>
              <w:pStyle w:val="192"/>
              <w:rPr>
                <w:rFonts w:hint="default" w:ascii="Times New Roman" w:hAnsi="Times New Roman" w:cs="Times New Roman"/>
                <w:spacing w:val="-2"/>
                <w:szCs w:val="18"/>
              </w:rPr>
            </w:pPr>
            <w:r>
              <w:rPr>
                <w:rFonts w:hint="default" w:ascii="Times New Roman" w:hAnsi="Times New Roman" w:cs="Times New Roman"/>
                <w:spacing w:val="-2"/>
                <w:szCs w:val="18"/>
              </w:rPr>
              <w:t>≤25</w:t>
            </w:r>
          </w:p>
        </w:tc>
        <w:tc>
          <w:tcPr>
            <w:tcW w:w="1252" w:type="pct"/>
            <w:shd w:val="clear" w:color="auto" w:fill="auto"/>
            <w:vAlign w:val="center"/>
          </w:tcPr>
          <w:p w14:paraId="1AF30269">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0349</w:t>
            </w:r>
          </w:p>
        </w:tc>
      </w:tr>
      <w:tr w14:paraId="19C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814" w:type="pct"/>
            <w:shd w:val="clear" w:color="auto" w:fill="auto"/>
            <w:vAlign w:val="center"/>
          </w:tcPr>
          <w:p w14:paraId="32DB78BF">
            <w:pPr>
              <w:pStyle w:val="192"/>
              <w:rPr>
                <w:rFonts w:hint="default" w:ascii="Times New Roman" w:hAnsi="Times New Roman" w:cs="Times New Roman"/>
                <w:spacing w:val="-2"/>
                <w:szCs w:val="18"/>
              </w:rPr>
            </w:pPr>
            <w:r>
              <w:rPr>
                <w:rFonts w:hint="default" w:ascii="Times New Roman" w:hAnsi="Times New Roman" w:cs="Times New Roman"/>
                <w:spacing w:val="-2"/>
                <w:szCs w:val="18"/>
              </w:rPr>
              <w:t>坚固性(大于0.3mm部分)</w:t>
            </w:r>
          </w:p>
        </w:tc>
        <w:tc>
          <w:tcPr>
            <w:tcW w:w="796" w:type="pct"/>
            <w:shd w:val="clear" w:color="auto" w:fill="auto"/>
            <w:vAlign w:val="center"/>
          </w:tcPr>
          <w:p w14:paraId="28B404DD">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38" w:type="pct"/>
            <w:shd w:val="clear" w:color="auto" w:fill="auto"/>
            <w:vAlign w:val="center"/>
          </w:tcPr>
          <w:p w14:paraId="1D2B6515">
            <w:pPr>
              <w:pStyle w:val="192"/>
              <w:rPr>
                <w:rFonts w:hint="default" w:ascii="Times New Roman" w:hAnsi="Times New Roman" w:cs="Times New Roman"/>
                <w:spacing w:val="-2"/>
                <w:szCs w:val="18"/>
              </w:rPr>
            </w:pPr>
            <w:r>
              <w:rPr>
                <w:rFonts w:hint="default" w:ascii="Times New Roman" w:hAnsi="Times New Roman" w:cs="Times New Roman"/>
                <w:spacing w:val="-2"/>
                <w:szCs w:val="18"/>
              </w:rPr>
              <w:t>≤12</w:t>
            </w:r>
          </w:p>
        </w:tc>
        <w:tc>
          <w:tcPr>
            <w:tcW w:w="1252" w:type="pct"/>
            <w:shd w:val="clear" w:color="auto" w:fill="auto"/>
            <w:vAlign w:val="center"/>
          </w:tcPr>
          <w:p w14:paraId="24D1A575">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0340</w:t>
            </w:r>
          </w:p>
        </w:tc>
      </w:tr>
    </w:tbl>
    <w:p w14:paraId="3D58FD80">
      <w:pPr>
        <w:numPr>
          <w:ilvl w:val="2"/>
          <w:numId w:val="17"/>
        </w:numPr>
        <w:spacing w:line="360" w:lineRule="auto"/>
        <w:ind w:left="0" w:firstLine="480" w:firstLineChars="200"/>
        <w:rPr>
          <w:rFonts w:hint="default" w:ascii="Times New Roman" w:hAnsi="Times New Roman" w:cs="Times New Roman"/>
          <w:bCs/>
          <w:sz w:val="24"/>
          <w:szCs w:val="32"/>
        </w:rPr>
      </w:pPr>
      <w:r>
        <w:rPr>
          <w:rFonts w:hint="default" w:ascii="Times New Roman" w:hAnsi="Times New Roman" w:cs="Times New Roman"/>
          <w:bCs/>
          <w:sz w:val="24"/>
          <w:szCs w:val="32"/>
        </w:rPr>
        <w:t>细集料规格应符合表5.4.4的规定。</w:t>
      </w:r>
    </w:p>
    <w:p w14:paraId="1A01FAEF">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表5.4.4细集料粒径规格要求</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63"/>
        <w:gridCol w:w="808"/>
        <w:gridCol w:w="858"/>
        <w:gridCol w:w="859"/>
        <w:gridCol w:w="809"/>
        <w:gridCol w:w="809"/>
        <w:gridCol w:w="809"/>
        <w:gridCol w:w="809"/>
        <w:gridCol w:w="812"/>
      </w:tblGrid>
      <w:tr w14:paraId="01A00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0" w:hRule="atLeast"/>
          <w:tblHeader/>
        </w:trPr>
        <w:tc>
          <w:tcPr>
            <w:tcW w:w="1058" w:type="pct"/>
            <w:vMerge w:val="restart"/>
            <w:shd w:val="clear" w:color="auto" w:fill="auto"/>
            <w:vAlign w:val="center"/>
          </w:tcPr>
          <w:p w14:paraId="590457B9">
            <w:pPr>
              <w:pStyle w:val="192"/>
              <w:rPr>
                <w:rFonts w:hint="default" w:ascii="Times New Roman" w:hAnsi="Times New Roman" w:cs="Times New Roman"/>
                <w:spacing w:val="-2"/>
                <w:szCs w:val="18"/>
              </w:rPr>
            </w:pPr>
            <w:r>
              <w:rPr>
                <w:rFonts w:hint="default" w:ascii="Times New Roman" w:hAnsi="Times New Roman" w:cs="Times New Roman"/>
                <w:spacing w:val="-2"/>
                <w:szCs w:val="18"/>
              </w:rPr>
              <w:t>公称粒径（mm）</w:t>
            </w:r>
          </w:p>
        </w:tc>
        <w:tc>
          <w:tcPr>
            <w:tcW w:w="3942" w:type="pct"/>
            <w:gridSpan w:val="8"/>
            <w:shd w:val="clear" w:color="auto" w:fill="auto"/>
          </w:tcPr>
          <w:p w14:paraId="16A63731">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通过下列筛孔（方孔筛mm）的质量百分率（％）</w:t>
            </w:r>
          </w:p>
        </w:tc>
      </w:tr>
      <w:tr w14:paraId="6D6CA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058" w:type="pct"/>
            <w:vMerge w:val="continue"/>
            <w:shd w:val="clear" w:color="auto" w:fill="auto"/>
          </w:tcPr>
          <w:p w14:paraId="72D006F4">
            <w:pPr>
              <w:pStyle w:val="192"/>
              <w:rPr>
                <w:rFonts w:hint="default" w:ascii="Times New Roman" w:hAnsi="Times New Roman" w:cs="Times New Roman"/>
                <w:spacing w:val="-2"/>
                <w:szCs w:val="18"/>
              </w:rPr>
            </w:pPr>
          </w:p>
        </w:tc>
        <w:tc>
          <w:tcPr>
            <w:tcW w:w="485" w:type="pct"/>
            <w:shd w:val="clear" w:color="auto" w:fill="auto"/>
          </w:tcPr>
          <w:p w14:paraId="31A7BA93">
            <w:pPr>
              <w:pStyle w:val="192"/>
              <w:rPr>
                <w:rFonts w:hint="default" w:ascii="Times New Roman" w:hAnsi="Times New Roman" w:cs="Times New Roman"/>
                <w:spacing w:val="-2"/>
                <w:szCs w:val="18"/>
              </w:rPr>
            </w:pPr>
            <w:r>
              <w:rPr>
                <w:rFonts w:hint="default" w:ascii="Times New Roman" w:hAnsi="Times New Roman" w:cs="Times New Roman"/>
                <w:spacing w:val="-2"/>
                <w:szCs w:val="18"/>
              </w:rPr>
              <w:t>9.5</w:t>
            </w:r>
          </w:p>
        </w:tc>
        <w:tc>
          <w:tcPr>
            <w:tcW w:w="515" w:type="pct"/>
            <w:shd w:val="clear" w:color="auto" w:fill="auto"/>
          </w:tcPr>
          <w:p w14:paraId="0AAD690E">
            <w:pPr>
              <w:pStyle w:val="192"/>
              <w:rPr>
                <w:rFonts w:hint="default" w:ascii="Times New Roman" w:hAnsi="Times New Roman" w:cs="Times New Roman"/>
                <w:spacing w:val="-2"/>
                <w:szCs w:val="18"/>
              </w:rPr>
            </w:pPr>
            <w:r>
              <w:rPr>
                <w:rFonts w:hint="default" w:ascii="Times New Roman" w:hAnsi="Times New Roman" w:cs="Times New Roman"/>
                <w:spacing w:val="-2"/>
                <w:szCs w:val="18"/>
              </w:rPr>
              <w:t>4.75</w:t>
            </w:r>
          </w:p>
        </w:tc>
        <w:tc>
          <w:tcPr>
            <w:tcW w:w="515" w:type="pct"/>
            <w:shd w:val="clear" w:color="auto" w:fill="auto"/>
          </w:tcPr>
          <w:p w14:paraId="39A3F4C9">
            <w:pPr>
              <w:pStyle w:val="192"/>
              <w:rPr>
                <w:rFonts w:hint="default" w:ascii="Times New Roman" w:hAnsi="Times New Roman" w:cs="Times New Roman"/>
                <w:spacing w:val="-2"/>
                <w:szCs w:val="18"/>
              </w:rPr>
            </w:pPr>
            <w:r>
              <w:rPr>
                <w:rFonts w:hint="default" w:ascii="Times New Roman" w:hAnsi="Times New Roman" w:cs="Times New Roman"/>
                <w:spacing w:val="-2"/>
                <w:szCs w:val="18"/>
              </w:rPr>
              <w:t>2.36</w:t>
            </w:r>
          </w:p>
        </w:tc>
        <w:tc>
          <w:tcPr>
            <w:tcW w:w="485" w:type="pct"/>
            <w:shd w:val="clear" w:color="auto" w:fill="auto"/>
          </w:tcPr>
          <w:p w14:paraId="61F28D6C">
            <w:pPr>
              <w:pStyle w:val="192"/>
              <w:rPr>
                <w:rFonts w:hint="default" w:ascii="Times New Roman" w:hAnsi="Times New Roman" w:cs="Times New Roman"/>
                <w:spacing w:val="-2"/>
                <w:szCs w:val="18"/>
              </w:rPr>
            </w:pPr>
            <w:r>
              <w:rPr>
                <w:rFonts w:hint="default" w:ascii="Times New Roman" w:hAnsi="Times New Roman" w:cs="Times New Roman"/>
                <w:spacing w:val="-2"/>
                <w:szCs w:val="18"/>
              </w:rPr>
              <w:t>1.18</w:t>
            </w:r>
          </w:p>
        </w:tc>
        <w:tc>
          <w:tcPr>
            <w:tcW w:w="485" w:type="pct"/>
            <w:shd w:val="clear" w:color="auto" w:fill="auto"/>
          </w:tcPr>
          <w:p w14:paraId="3128503C">
            <w:pPr>
              <w:pStyle w:val="192"/>
              <w:rPr>
                <w:rFonts w:hint="default" w:ascii="Times New Roman" w:hAnsi="Times New Roman" w:cs="Times New Roman"/>
                <w:spacing w:val="-2"/>
                <w:szCs w:val="18"/>
              </w:rPr>
            </w:pPr>
            <w:r>
              <w:rPr>
                <w:rFonts w:hint="default" w:ascii="Times New Roman" w:hAnsi="Times New Roman" w:cs="Times New Roman"/>
                <w:spacing w:val="-2"/>
                <w:szCs w:val="18"/>
              </w:rPr>
              <w:t>0.6</w:t>
            </w:r>
          </w:p>
        </w:tc>
        <w:tc>
          <w:tcPr>
            <w:tcW w:w="485" w:type="pct"/>
            <w:shd w:val="clear" w:color="auto" w:fill="auto"/>
          </w:tcPr>
          <w:p w14:paraId="729AEC21">
            <w:pPr>
              <w:pStyle w:val="192"/>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485" w:type="pct"/>
            <w:shd w:val="clear" w:color="auto" w:fill="auto"/>
          </w:tcPr>
          <w:p w14:paraId="3C61A221">
            <w:pPr>
              <w:pStyle w:val="192"/>
              <w:rPr>
                <w:rFonts w:hint="default" w:ascii="Times New Roman" w:hAnsi="Times New Roman" w:cs="Times New Roman"/>
                <w:spacing w:val="-2"/>
                <w:szCs w:val="18"/>
              </w:rPr>
            </w:pPr>
            <w:r>
              <w:rPr>
                <w:rFonts w:hint="default" w:ascii="Times New Roman" w:hAnsi="Times New Roman" w:cs="Times New Roman"/>
                <w:spacing w:val="-2"/>
                <w:szCs w:val="18"/>
              </w:rPr>
              <w:t>0.15</w:t>
            </w:r>
          </w:p>
        </w:tc>
        <w:tc>
          <w:tcPr>
            <w:tcW w:w="485" w:type="pct"/>
            <w:shd w:val="clear" w:color="auto" w:fill="auto"/>
          </w:tcPr>
          <w:p w14:paraId="08959473">
            <w:pPr>
              <w:pStyle w:val="192"/>
              <w:rPr>
                <w:rFonts w:hint="default" w:ascii="Times New Roman" w:hAnsi="Times New Roman" w:cs="Times New Roman"/>
                <w:spacing w:val="-2"/>
                <w:szCs w:val="18"/>
              </w:rPr>
            </w:pPr>
            <w:r>
              <w:rPr>
                <w:rFonts w:hint="default" w:ascii="Times New Roman" w:hAnsi="Times New Roman" w:cs="Times New Roman"/>
                <w:spacing w:val="-2"/>
                <w:szCs w:val="18"/>
              </w:rPr>
              <w:t>0.075</w:t>
            </w:r>
          </w:p>
        </w:tc>
      </w:tr>
      <w:tr w14:paraId="7E162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58" w:type="pct"/>
            <w:shd w:val="clear" w:color="auto" w:fill="auto"/>
          </w:tcPr>
          <w:p w14:paraId="7C1D4DB1">
            <w:pPr>
              <w:pStyle w:val="192"/>
              <w:rPr>
                <w:rFonts w:hint="default" w:ascii="Times New Roman" w:hAnsi="Times New Roman" w:cs="Times New Roman"/>
                <w:spacing w:val="-2"/>
                <w:szCs w:val="18"/>
              </w:rPr>
            </w:pPr>
            <w:r>
              <w:rPr>
                <w:rFonts w:hint="default" w:ascii="Times New Roman" w:hAnsi="Times New Roman" w:cs="Times New Roman"/>
                <w:spacing w:val="-2"/>
                <w:szCs w:val="18"/>
              </w:rPr>
              <w:t>0~5</w:t>
            </w:r>
          </w:p>
        </w:tc>
        <w:tc>
          <w:tcPr>
            <w:tcW w:w="485" w:type="pct"/>
            <w:shd w:val="clear" w:color="auto" w:fill="auto"/>
          </w:tcPr>
          <w:p w14:paraId="0B3A69C7">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515" w:type="pct"/>
            <w:shd w:val="clear" w:color="auto" w:fill="auto"/>
          </w:tcPr>
          <w:p w14:paraId="5AF8AF1D">
            <w:pPr>
              <w:pStyle w:val="192"/>
              <w:rPr>
                <w:rFonts w:hint="default" w:ascii="Times New Roman" w:hAnsi="Times New Roman" w:cs="Times New Roman"/>
                <w:spacing w:val="-2"/>
                <w:szCs w:val="18"/>
              </w:rPr>
            </w:pPr>
            <w:r>
              <w:rPr>
                <w:rFonts w:hint="default" w:ascii="Times New Roman" w:hAnsi="Times New Roman" w:cs="Times New Roman"/>
                <w:spacing w:val="-2"/>
                <w:szCs w:val="18"/>
              </w:rPr>
              <w:t>90~100</w:t>
            </w:r>
          </w:p>
        </w:tc>
        <w:tc>
          <w:tcPr>
            <w:tcW w:w="515" w:type="pct"/>
            <w:shd w:val="clear" w:color="auto" w:fill="auto"/>
          </w:tcPr>
          <w:p w14:paraId="1162D1BE">
            <w:pPr>
              <w:pStyle w:val="192"/>
              <w:rPr>
                <w:rFonts w:hint="default" w:ascii="Times New Roman" w:hAnsi="Times New Roman" w:cs="Times New Roman"/>
                <w:spacing w:val="-2"/>
                <w:szCs w:val="18"/>
              </w:rPr>
            </w:pPr>
            <w:r>
              <w:rPr>
                <w:rFonts w:hint="default" w:ascii="Times New Roman" w:hAnsi="Times New Roman" w:cs="Times New Roman"/>
                <w:spacing w:val="-2"/>
                <w:szCs w:val="18"/>
              </w:rPr>
              <w:t>60~90</w:t>
            </w:r>
          </w:p>
        </w:tc>
        <w:tc>
          <w:tcPr>
            <w:tcW w:w="485" w:type="pct"/>
            <w:shd w:val="clear" w:color="auto" w:fill="auto"/>
          </w:tcPr>
          <w:p w14:paraId="17151036">
            <w:pPr>
              <w:pStyle w:val="192"/>
              <w:rPr>
                <w:rFonts w:hint="default" w:ascii="Times New Roman" w:hAnsi="Times New Roman" w:cs="Times New Roman"/>
                <w:spacing w:val="-2"/>
                <w:szCs w:val="18"/>
              </w:rPr>
            </w:pPr>
            <w:r>
              <w:rPr>
                <w:rFonts w:hint="default" w:ascii="Times New Roman" w:hAnsi="Times New Roman" w:cs="Times New Roman"/>
                <w:spacing w:val="-2"/>
                <w:szCs w:val="18"/>
              </w:rPr>
              <w:t>40~75</w:t>
            </w:r>
          </w:p>
        </w:tc>
        <w:tc>
          <w:tcPr>
            <w:tcW w:w="485" w:type="pct"/>
            <w:shd w:val="clear" w:color="auto" w:fill="auto"/>
          </w:tcPr>
          <w:p w14:paraId="1E1BA536">
            <w:pPr>
              <w:pStyle w:val="192"/>
              <w:rPr>
                <w:rFonts w:hint="default" w:ascii="Times New Roman" w:hAnsi="Times New Roman" w:cs="Times New Roman"/>
                <w:spacing w:val="-2"/>
                <w:szCs w:val="18"/>
              </w:rPr>
            </w:pPr>
            <w:r>
              <w:rPr>
                <w:rFonts w:hint="default" w:ascii="Times New Roman" w:hAnsi="Times New Roman" w:cs="Times New Roman"/>
                <w:spacing w:val="-2"/>
                <w:szCs w:val="18"/>
              </w:rPr>
              <w:t>20~55</w:t>
            </w:r>
          </w:p>
        </w:tc>
        <w:tc>
          <w:tcPr>
            <w:tcW w:w="485" w:type="pct"/>
            <w:shd w:val="clear" w:color="auto" w:fill="auto"/>
          </w:tcPr>
          <w:p w14:paraId="259DC7EF">
            <w:pPr>
              <w:pStyle w:val="192"/>
              <w:rPr>
                <w:rFonts w:hint="default" w:ascii="Times New Roman" w:hAnsi="Times New Roman" w:cs="Times New Roman"/>
                <w:spacing w:val="-2"/>
                <w:szCs w:val="18"/>
              </w:rPr>
            </w:pPr>
            <w:r>
              <w:rPr>
                <w:rFonts w:hint="default" w:ascii="Times New Roman" w:hAnsi="Times New Roman" w:cs="Times New Roman"/>
                <w:spacing w:val="-2"/>
                <w:szCs w:val="18"/>
              </w:rPr>
              <w:t>7~40</w:t>
            </w:r>
          </w:p>
        </w:tc>
        <w:tc>
          <w:tcPr>
            <w:tcW w:w="485" w:type="pct"/>
            <w:shd w:val="clear" w:color="auto" w:fill="auto"/>
          </w:tcPr>
          <w:p w14:paraId="310BE1F5">
            <w:pPr>
              <w:pStyle w:val="192"/>
              <w:rPr>
                <w:rFonts w:hint="default" w:ascii="Times New Roman" w:hAnsi="Times New Roman" w:cs="Times New Roman"/>
                <w:spacing w:val="-2"/>
                <w:szCs w:val="18"/>
              </w:rPr>
            </w:pPr>
            <w:r>
              <w:rPr>
                <w:rFonts w:hint="default" w:ascii="Times New Roman" w:hAnsi="Times New Roman" w:cs="Times New Roman"/>
                <w:spacing w:val="-2"/>
                <w:szCs w:val="18"/>
              </w:rPr>
              <w:t>2~20</w:t>
            </w:r>
          </w:p>
        </w:tc>
        <w:tc>
          <w:tcPr>
            <w:tcW w:w="485" w:type="pct"/>
            <w:shd w:val="clear" w:color="auto" w:fill="auto"/>
          </w:tcPr>
          <w:p w14:paraId="2FE84E72">
            <w:pPr>
              <w:pStyle w:val="192"/>
              <w:rPr>
                <w:rFonts w:hint="default" w:ascii="Times New Roman" w:hAnsi="Times New Roman" w:cs="Times New Roman"/>
                <w:spacing w:val="-2"/>
                <w:szCs w:val="18"/>
              </w:rPr>
            </w:pPr>
            <w:r>
              <w:rPr>
                <w:rFonts w:hint="default" w:ascii="Times New Roman" w:hAnsi="Times New Roman" w:cs="Times New Roman"/>
                <w:spacing w:val="-2"/>
                <w:szCs w:val="18"/>
              </w:rPr>
              <w:t>0~10</w:t>
            </w:r>
          </w:p>
        </w:tc>
      </w:tr>
      <w:tr w14:paraId="54710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058" w:type="pct"/>
            <w:shd w:val="clear" w:color="auto" w:fill="auto"/>
          </w:tcPr>
          <w:p w14:paraId="330D7298">
            <w:pPr>
              <w:pStyle w:val="192"/>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485" w:type="pct"/>
            <w:shd w:val="clear" w:color="auto" w:fill="auto"/>
          </w:tcPr>
          <w:p w14:paraId="25F20285">
            <w:pPr>
              <w:pStyle w:val="192"/>
              <w:rPr>
                <w:rFonts w:hint="default" w:ascii="Times New Roman" w:hAnsi="Times New Roman" w:cs="Times New Roman"/>
                <w:spacing w:val="-2"/>
                <w:szCs w:val="18"/>
              </w:rPr>
            </w:pPr>
          </w:p>
        </w:tc>
        <w:tc>
          <w:tcPr>
            <w:tcW w:w="515" w:type="pct"/>
            <w:shd w:val="clear" w:color="auto" w:fill="auto"/>
          </w:tcPr>
          <w:p w14:paraId="50575EDD">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515" w:type="pct"/>
            <w:shd w:val="clear" w:color="auto" w:fill="auto"/>
          </w:tcPr>
          <w:p w14:paraId="42DF271E">
            <w:pPr>
              <w:pStyle w:val="192"/>
              <w:rPr>
                <w:rFonts w:hint="default" w:ascii="Times New Roman" w:hAnsi="Times New Roman" w:cs="Times New Roman"/>
                <w:spacing w:val="-2"/>
                <w:szCs w:val="18"/>
              </w:rPr>
            </w:pPr>
            <w:r>
              <w:rPr>
                <w:rFonts w:hint="default" w:ascii="Times New Roman" w:hAnsi="Times New Roman" w:cs="Times New Roman"/>
                <w:spacing w:val="-2"/>
                <w:szCs w:val="18"/>
              </w:rPr>
              <w:t>80~100</w:t>
            </w:r>
          </w:p>
        </w:tc>
        <w:tc>
          <w:tcPr>
            <w:tcW w:w="485" w:type="pct"/>
            <w:shd w:val="clear" w:color="auto" w:fill="auto"/>
          </w:tcPr>
          <w:p w14:paraId="05EC73C8">
            <w:pPr>
              <w:pStyle w:val="192"/>
              <w:rPr>
                <w:rFonts w:hint="default" w:ascii="Times New Roman" w:hAnsi="Times New Roman" w:cs="Times New Roman"/>
                <w:spacing w:val="-2"/>
                <w:szCs w:val="18"/>
              </w:rPr>
            </w:pPr>
            <w:r>
              <w:rPr>
                <w:rFonts w:hint="default" w:ascii="Times New Roman" w:hAnsi="Times New Roman" w:cs="Times New Roman"/>
                <w:spacing w:val="-2"/>
                <w:szCs w:val="18"/>
              </w:rPr>
              <w:t>50~80</w:t>
            </w:r>
          </w:p>
        </w:tc>
        <w:tc>
          <w:tcPr>
            <w:tcW w:w="485" w:type="pct"/>
            <w:shd w:val="clear" w:color="auto" w:fill="auto"/>
          </w:tcPr>
          <w:p w14:paraId="5B2276E1">
            <w:pPr>
              <w:pStyle w:val="192"/>
              <w:rPr>
                <w:rFonts w:hint="default" w:ascii="Times New Roman" w:hAnsi="Times New Roman" w:cs="Times New Roman"/>
                <w:spacing w:val="-2"/>
                <w:szCs w:val="18"/>
              </w:rPr>
            </w:pPr>
            <w:r>
              <w:rPr>
                <w:rFonts w:hint="default" w:ascii="Times New Roman" w:hAnsi="Times New Roman" w:cs="Times New Roman"/>
                <w:spacing w:val="-2"/>
                <w:szCs w:val="18"/>
              </w:rPr>
              <w:t>25~60</w:t>
            </w:r>
          </w:p>
        </w:tc>
        <w:tc>
          <w:tcPr>
            <w:tcW w:w="485" w:type="pct"/>
            <w:shd w:val="clear" w:color="auto" w:fill="auto"/>
          </w:tcPr>
          <w:p w14:paraId="54376A8E">
            <w:pPr>
              <w:pStyle w:val="192"/>
              <w:rPr>
                <w:rFonts w:hint="default" w:ascii="Times New Roman" w:hAnsi="Times New Roman" w:cs="Times New Roman"/>
                <w:spacing w:val="-2"/>
                <w:szCs w:val="18"/>
              </w:rPr>
            </w:pPr>
            <w:r>
              <w:rPr>
                <w:rFonts w:hint="default" w:ascii="Times New Roman" w:hAnsi="Times New Roman" w:cs="Times New Roman"/>
                <w:spacing w:val="-2"/>
                <w:szCs w:val="18"/>
              </w:rPr>
              <w:t>8~45</w:t>
            </w:r>
          </w:p>
        </w:tc>
        <w:tc>
          <w:tcPr>
            <w:tcW w:w="485" w:type="pct"/>
            <w:shd w:val="clear" w:color="auto" w:fill="auto"/>
          </w:tcPr>
          <w:p w14:paraId="6CFFBB1A">
            <w:pPr>
              <w:pStyle w:val="192"/>
              <w:rPr>
                <w:rFonts w:hint="default" w:ascii="Times New Roman" w:hAnsi="Times New Roman" w:cs="Times New Roman"/>
                <w:spacing w:val="-2"/>
                <w:szCs w:val="18"/>
              </w:rPr>
            </w:pPr>
            <w:r>
              <w:rPr>
                <w:rFonts w:hint="default" w:ascii="Times New Roman" w:hAnsi="Times New Roman" w:cs="Times New Roman"/>
                <w:spacing w:val="-2"/>
                <w:szCs w:val="18"/>
              </w:rPr>
              <w:t>0~25</w:t>
            </w:r>
          </w:p>
        </w:tc>
        <w:tc>
          <w:tcPr>
            <w:tcW w:w="485" w:type="pct"/>
            <w:shd w:val="clear" w:color="auto" w:fill="auto"/>
          </w:tcPr>
          <w:p w14:paraId="29B9B567">
            <w:pPr>
              <w:pStyle w:val="192"/>
              <w:rPr>
                <w:rFonts w:hint="default" w:ascii="Times New Roman" w:hAnsi="Times New Roman" w:cs="Times New Roman"/>
                <w:spacing w:val="-2"/>
                <w:szCs w:val="18"/>
              </w:rPr>
            </w:pPr>
            <w:r>
              <w:rPr>
                <w:rFonts w:hint="default" w:ascii="Times New Roman" w:hAnsi="Times New Roman" w:cs="Times New Roman"/>
                <w:spacing w:val="-2"/>
                <w:szCs w:val="18"/>
              </w:rPr>
              <w:t>0~10</w:t>
            </w:r>
          </w:p>
        </w:tc>
      </w:tr>
    </w:tbl>
    <w:p w14:paraId="0FE8548C">
      <w:pPr>
        <w:numPr>
          <w:ilvl w:val="2"/>
          <w:numId w:val="17"/>
        </w:numPr>
        <w:spacing w:line="360" w:lineRule="auto"/>
        <w:ind w:left="0" w:firstLine="480" w:firstLineChars="200"/>
        <w:rPr>
          <w:rFonts w:hint="default" w:ascii="Times New Roman" w:hAnsi="Times New Roman" w:cs="Times New Roman"/>
          <w:bCs/>
          <w:sz w:val="24"/>
          <w:szCs w:val="32"/>
        </w:rPr>
      </w:pPr>
      <w:bookmarkStart w:id="41" w:name="_Toc101871669"/>
      <w:r>
        <w:rPr>
          <w:rFonts w:hint="default" w:ascii="Times New Roman" w:hAnsi="Times New Roman" w:cs="Times New Roman"/>
          <w:bCs/>
          <w:sz w:val="24"/>
          <w:szCs w:val="32"/>
        </w:rPr>
        <w:t>填料宜采用石灰岩或岩浆岩中的强基性岩石经磨细得到的矿粉，应洁净、干燥，能自由地从矿粉仓中流出，不得使用回收粉。填料应符合表5.4.5的规定。</w:t>
      </w:r>
    </w:p>
    <w:p w14:paraId="5F004212">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表5.4.5填料技术指标</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69"/>
        <w:gridCol w:w="1569"/>
        <w:gridCol w:w="1110"/>
        <w:gridCol w:w="2044"/>
        <w:gridCol w:w="2044"/>
      </w:tblGrid>
      <w:tr w14:paraId="65D89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27F383C2">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试验项目</w:t>
            </w:r>
          </w:p>
        </w:tc>
        <w:tc>
          <w:tcPr>
            <w:tcW w:w="666" w:type="pct"/>
            <w:shd w:val="clear" w:color="auto" w:fill="auto"/>
          </w:tcPr>
          <w:p w14:paraId="44126D70">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226" w:type="pct"/>
            <w:shd w:val="clear" w:color="auto" w:fill="auto"/>
          </w:tcPr>
          <w:p w14:paraId="11FD31DD">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1226" w:type="pct"/>
            <w:shd w:val="clear" w:color="auto" w:fill="auto"/>
          </w:tcPr>
          <w:p w14:paraId="396EAC66">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08AE9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41717315">
            <w:pPr>
              <w:pStyle w:val="192"/>
              <w:rPr>
                <w:rFonts w:hint="default" w:ascii="Times New Roman" w:hAnsi="Times New Roman" w:cs="Times New Roman"/>
                <w:spacing w:val="-2"/>
                <w:szCs w:val="18"/>
              </w:rPr>
            </w:pPr>
            <w:r>
              <w:rPr>
                <w:rFonts w:hint="default" w:ascii="Times New Roman" w:hAnsi="Times New Roman" w:cs="Times New Roman"/>
                <w:spacing w:val="-2"/>
                <w:szCs w:val="18"/>
              </w:rPr>
              <w:t>外观</w:t>
            </w:r>
          </w:p>
        </w:tc>
        <w:tc>
          <w:tcPr>
            <w:tcW w:w="666" w:type="pct"/>
            <w:shd w:val="clear" w:color="auto" w:fill="auto"/>
          </w:tcPr>
          <w:p w14:paraId="3858B250">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3DBD7E0E">
            <w:pPr>
              <w:pStyle w:val="192"/>
              <w:rPr>
                <w:rFonts w:hint="default" w:ascii="Times New Roman" w:hAnsi="Times New Roman" w:cs="Times New Roman"/>
                <w:spacing w:val="-2"/>
                <w:szCs w:val="18"/>
              </w:rPr>
            </w:pPr>
            <w:r>
              <w:rPr>
                <w:rFonts w:hint="default" w:ascii="Times New Roman" w:hAnsi="Times New Roman" w:cs="Times New Roman"/>
                <w:spacing w:val="-2"/>
                <w:szCs w:val="18"/>
              </w:rPr>
              <w:t>无团粒结块</w:t>
            </w:r>
          </w:p>
        </w:tc>
        <w:tc>
          <w:tcPr>
            <w:tcW w:w="1226" w:type="pct"/>
            <w:shd w:val="clear" w:color="auto" w:fill="auto"/>
          </w:tcPr>
          <w:p w14:paraId="2999B482">
            <w:pPr>
              <w:pStyle w:val="192"/>
              <w:rPr>
                <w:rFonts w:hint="default" w:ascii="Times New Roman" w:hAnsi="Times New Roman" w:cs="Times New Roman"/>
                <w:spacing w:val="-2"/>
                <w:szCs w:val="18"/>
                <w:lang w:val="fr-FR"/>
              </w:rPr>
            </w:pPr>
            <w:r>
              <w:rPr>
                <w:rFonts w:hint="default" w:ascii="Times New Roman" w:hAnsi="Times New Roman" w:cs="Times New Roman"/>
                <w:spacing w:val="-2"/>
                <w:szCs w:val="18"/>
              </w:rPr>
              <w:t>—</w:t>
            </w:r>
          </w:p>
        </w:tc>
      </w:tr>
      <w:tr w14:paraId="336F5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2CA65069">
            <w:pPr>
              <w:pStyle w:val="192"/>
              <w:rPr>
                <w:rFonts w:hint="default" w:ascii="Times New Roman" w:hAnsi="Times New Roman" w:cs="Times New Roman"/>
                <w:spacing w:val="-2"/>
                <w:szCs w:val="18"/>
              </w:rPr>
            </w:pPr>
            <w:r>
              <w:rPr>
                <w:rFonts w:hint="default" w:ascii="Times New Roman" w:hAnsi="Times New Roman" w:cs="Times New Roman"/>
                <w:spacing w:val="-2"/>
                <w:szCs w:val="18"/>
              </w:rPr>
              <w:t>含水量</w:t>
            </w:r>
          </w:p>
        </w:tc>
        <w:tc>
          <w:tcPr>
            <w:tcW w:w="666" w:type="pct"/>
            <w:shd w:val="clear" w:color="auto" w:fill="auto"/>
          </w:tcPr>
          <w:p w14:paraId="03678445">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354A006B">
            <w:pPr>
              <w:pStyle w:val="192"/>
              <w:rPr>
                <w:rFonts w:hint="default" w:ascii="Times New Roman" w:hAnsi="Times New Roman" w:cs="Times New Roman"/>
                <w:spacing w:val="-2"/>
                <w:szCs w:val="18"/>
              </w:rPr>
            </w:pPr>
            <w:r>
              <w:rPr>
                <w:rFonts w:hint="default" w:ascii="Times New Roman" w:hAnsi="Times New Roman" w:cs="Times New Roman"/>
                <w:spacing w:val="-2"/>
                <w:szCs w:val="18"/>
              </w:rPr>
              <w:t>≤1</w:t>
            </w:r>
          </w:p>
        </w:tc>
        <w:tc>
          <w:tcPr>
            <w:tcW w:w="1226" w:type="pct"/>
            <w:shd w:val="clear" w:color="auto" w:fill="auto"/>
          </w:tcPr>
          <w:p w14:paraId="72FEC8EF">
            <w:pPr>
              <w:pStyle w:val="192"/>
              <w:rPr>
                <w:rFonts w:hint="default" w:ascii="Times New Roman" w:hAnsi="Times New Roman" w:cs="Times New Roman"/>
                <w:spacing w:val="-2"/>
                <w:szCs w:val="18"/>
              </w:rPr>
            </w:pPr>
            <w:r>
              <w:rPr>
                <w:rFonts w:hint="default" w:ascii="Times New Roman" w:hAnsi="Times New Roman" w:cs="Times New Roman"/>
                <w:spacing w:val="-2"/>
                <w:szCs w:val="18"/>
              </w:rPr>
              <w:t>T 0103烘干法</w:t>
            </w:r>
          </w:p>
        </w:tc>
      </w:tr>
      <w:tr w14:paraId="78D88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5280A188">
            <w:pPr>
              <w:pStyle w:val="192"/>
              <w:rPr>
                <w:rFonts w:hint="default" w:ascii="Times New Roman" w:hAnsi="Times New Roman" w:cs="Times New Roman"/>
                <w:spacing w:val="-2"/>
                <w:szCs w:val="18"/>
              </w:rPr>
            </w:pPr>
            <w:r>
              <w:rPr>
                <w:rFonts w:hint="default" w:ascii="Times New Roman" w:hAnsi="Times New Roman" w:cs="Times New Roman"/>
                <w:spacing w:val="-2"/>
                <w:szCs w:val="18"/>
              </w:rPr>
              <w:t>表观密度</w:t>
            </w:r>
          </w:p>
        </w:tc>
        <w:tc>
          <w:tcPr>
            <w:tcW w:w="666" w:type="pct"/>
            <w:shd w:val="clear" w:color="auto" w:fill="auto"/>
          </w:tcPr>
          <w:p w14:paraId="2BC1D325">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45CE0C21">
            <w:pPr>
              <w:pStyle w:val="192"/>
              <w:rPr>
                <w:rFonts w:hint="default" w:ascii="Times New Roman" w:hAnsi="Times New Roman" w:cs="Times New Roman"/>
                <w:spacing w:val="-2"/>
                <w:szCs w:val="18"/>
              </w:rPr>
            </w:pPr>
            <w:r>
              <w:rPr>
                <w:rFonts w:hint="default" w:ascii="Times New Roman" w:hAnsi="Times New Roman" w:cs="Times New Roman"/>
                <w:spacing w:val="-2"/>
                <w:szCs w:val="18"/>
              </w:rPr>
              <w:t>≥2.5</w:t>
            </w:r>
          </w:p>
        </w:tc>
        <w:tc>
          <w:tcPr>
            <w:tcW w:w="1226" w:type="pct"/>
            <w:shd w:val="clear" w:color="auto" w:fill="auto"/>
          </w:tcPr>
          <w:p w14:paraId="0CB43817">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0352</w:t>
            </w:r>
          </w:p>
        </w:tc>
      </w:tr>
      <w:tr w14:paraId="461AA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258B189A">
            <w:pPr>
              <w:pStyle w:val="192"/>
              <w:rPr>
                <w:rFonts w:hint="default" w:ascii="Times New Roman" w:hAnsi="Times New Roman" w:cs="Times New Roman"/>
                <w:spacing w:val="-2"/>
                <w:szCs w:val="18"/>
              </w:rPr>
            </w:pPr>
            <w:r>
              <w:rPr>
                <w:rFonts w:hint="default" w:ascii="Times New Roman" w:hAnsi="Times New Roman" w:cs="Times New Roman"/>
                <w:spacing w:val="-2"/>
                <w:szCs w:val="18"/>
              </w:rPr>
              <w:t>亲水系数</w:t>
            </w:r>
          </w:p>
        </w:tc>
        <w:tc>
          <w:tcPr>
            <w:tcW w:w="666" w:type="pct"/>
            <w:shd w:val="clear" w:color="auto" w:fill="auto"/>
          </w:tcPr>
          <w:p w14:paraId="643B9EE4">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5E4B6D96">
            <w:pPr>
              <w:pStyle w:val="192"/>
              <w:rPr>
                <w:rFonts w:hint="default" w:ascii="Times New Roman" w:hAnsi="Times New Roman" w:cs="Times New Roman"/>
                <w:spacing w:val="-2"/>
                <w:szCs w:val="18"/>
              </w:rPr>
            </w:pPr>
            <w:r>
              <w:rPr>
                <w:rFonts w:hint="default" w:ascii="Times New Roman" w:hAnsi="Times New Roman" w:cs="Times New Roman"/>
                <w:spacing w:val="-2"/>
                <w:szCs w:val="18"/>
              </w:rPr>
              <w:t>≤1</w:t>
            </w:r>
          </w:p>
        </w:tc>
        <w:tc>
          <w:tcPr>
            <w:tcW w:w="1226" w:type="pct"/>
            <w:shd w:val="clear" w:color="auto" w:fill="auto"/>
          </w:tcPr>
          <w:p w14:paraId="0EB80EC1">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0353</w:t>
            </w:r>
          </w:p>
        </w:tc>
      </w:tr>
      <w:tr w14:paraId="03EE0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882" w:type="pct"/>
            <w:gridSpan w:val="2"/>
            <w:shd w:val="clear" w:color="auto" w:fill="auto"/>
          </w:tcPr>
          <w:p w14:paraId="088D20DA">
            <w:pPr>
              <w:pStyle w:val="192"/>
              <w:rPr>
                <w:rFonts w:hint="default" w:ascii="Times New Roman" w:hAnsi="Times New Roman" w:cs="Times New Roman"/>
                <w:spacing w:val="-2"/>
                <w:szCs w:val="18"/>
              </w:rPr>
            </w:pPr>
            <w:r>
              <w:rPr>
                <w:rFonts w:hint="default" w:ascii="Times New Roman" w:hAnsi="Times New Roman" w:cs="Times New Roman"/>
                <w:spacing w:val="-2"/>
                <w:szCs w:val="18"/>
              </w:rPr>
              <w:t>塑性指数</w:t>
            </w:r>
          </w:p>
        </w:tc>
        <w:tc>
          <w:tcPr>
            <w:tcW w:w="666" w:type="pct"/>
            <w:shd w:val="clear" w:color="auto" w:fill="auto"/>
          </w:tcPr>
          <w:p w14:paraId="293200B2">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7E517AA9">
            <w:pPr>
              <w:pStyle w:val="192"/>
              <w:rPr>
                <w:rFonts w:hint="default" w:ascii="Times New Roman" w:hAnsi="Times New Roman" w:cs="Times New Roman"/>
                <w:spacing w:val="-2"/>
                <w:szCs w:val="18"/>
              </w:rPr>
            </w:pPr>
            <w:r>
              <w:rPr>
                <w:rFonts w:hint="default" w:ascii="Times New Roman" w:hAnsi="Times New Roman" w:cs="Times New Roman"/>
                <w:spacing w:val="-2"/>
                <w:szCs w:val="18"/>
              </w:rPr>
              <w:t>≤4</w:t>
            </w:r>
          </w:p>
        </w:tc>
        <w:tc>
          <w:tcPr>
            <w:tcW w:w="1226" w:type="pct"/>
            <w:shd w:val="clear" w:color="auto" w:fill="auto"/>
          </w:tcPr>
          <w:p w14:paraId="16DBA8F9">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0354</w:t>
            </w:r>
          </w:p>
        </w:tc>
      </w:tr>
      <w:tr w14:paraId="01505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41" w:type="pct"/>
            <w:shd w:val="clear" w:color="auto" w:fill="auto"/>
          </w:tcPr>
          <w:p w14:paraId="5E132415">
            <w:pPr>
              <w:pStyle w:val="192"/>
              <w:rPr>
                <w:rFonts w:hint="default" w:ascii="Times New Roman" w:hAnsi="Times New Roman" w:cs="Times New Roman"/>
                <w:spacing w:val="-2"/>
                <w:szCs w:val="18"/>
              </w:rPr>
            </w:pPr>
            <w:r>
              <w:rPr>
                <w:rFonts w:hint="default" w:ascii="Times New Roman" w:hAnsi="Times New Roman" w:cs="Times New Roman"/>
                <w:spacing w:val="-2"/>
                <w:szCs w:val="18"/>
              </w:rPr>
              <w:t>粒度范围</w:t>
            </w:r>
          </w:p>
        </w:tc>
        <w:tc>
          <w:tcPr>
            <w:tcW w:w="941" w:type="pct"/>
            <w:shd w:val="clear" w:color="auto" w:fill="auto"/>
          </w:tcPr>
          <w:p w14:paraId="1F5C18B7">
            <w:pPr>
              <w:pStyle w:val="192"/>
              <w:rPr>
                <w:rFonts w:hint="default" w:ascii="Times New Roman" w:hAnsi="Times New Roman" w:cs="Times New Roman"/>
                <w:spacing w:val="-2"/>
                <w:szCs w:val="18"/>
              </w:rPr>
            </w:pPr>
            <w:r>
              <w:rPr>
                <w:rFonts w:hint="default" w:ascii="Times New Roman" w:hAnsi="Times New Roman" w:cs="Times New Roman"/>
                <w:spacing w:val="-2"/>
                <w:szCs w:val="18"/>
              </w:rPr>
              <w:t>&lt;0.6mm</w:t>
            </w:r>
          </w:p>
        </w:tc>
        <w:tc>
          <w:tcPr>
            <w:tcW w:w="666" w:type="pct"/>
            <w:shd w:val="clear" w:color="auto" w:fill="auto"/>
          </w:tcPr>
          <w:p w14:paraId="2B2CEB37">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226" w:type="pct"/>
            <w:shd w:val="clear" w:color="auto" w:fill="auto"/>
          </w:tcPr>
          <w:p w14:paraId="75486270">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1226" w:type="pct"/>
            <w:shd w:val="clear" w:color="auto" w:fill="auto"/>
          </w:tcPr>
          <w:p w14:paraId="74F54B22">
            <w:pPr>
              <w:pStyle w:val="192"/>
              <w:rPr>
                <w:rFonts w:hint="default" w:ascii="Times New Roman" w:hAnsi="Times New Roman" w:cs="Times New Roman"/>
                <w:spacing w:val="-2"/>
                <w:szCs w:val="18"/>
              </w:rPr>
            </w:pPr>
            <w:r>
              <w:rPr>
                <w:rFonts w:hint="default" w:ascii="Times New Roman" w:hAnsi="Times New Roman" w:cs="Times New Roman"/>
                <w:spacing w:val="-2"/>
                <w:szCs w:val="18"/>
              </w:rPr>
              <w:t>T 0351</w:t>
            </w:r>
          </w:p>
        </w:tc>
      </w:tr>
      <w:bookmarkEnd w:id="41"/>
    </w:tbl>
    <w:p w14:paraId="0372265F">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42" w:name="_Toc28671"/>
      <w:r>
        <w:rPr>
          <w:rFonts w:hint="default" w:ascii="Times New Roman" w:hAnsi="Times New Roman" w:cs="Times New Roman"/>
          <w:sz w:val="24"/>
        </w:rPr>
        <w:t>灌缝胶</w:t>
      </w:r>
      <w:bookmarkEnd w:id="42"/>
    </w:p>
    <w:p w14:paraId="45A82CA9">
      <w:pPr>
        <w:keepNext/>
        <w:numPr>
          <w:ilvl w:val="2"/>
          <w:numId w:val="17"/>
        </w:numPr>
        <w:spacing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原路面裂缝和横纵向接缝宜采用灌封胶进行处理，所采用的灌缝胶质量应符合表5.5.1</w:t>
      </w:r>
      <w:r>
        <w:rPr>
          <w:rFonts w:hint="default" w:ascii="Times New Roman" w:hAnsi="Times New Roman" w:cs="Times New Roman"/>
          <w:bCs/>
          <w:sz w:val="24"/>
          <w:szCs w:val="32"/>
        </w:rPr>
        <w:t>的规定。</w:t>
      </w:r>
    </w:p>
    <w:p w14:paraId="5FC625DC">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表5.5.1灌缝胶技术指标</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697"/>
        <w:gridCol w:w="1571"/>
        <w:gridCol w:w="1429"/>
        <w:gridCol w:w="1639"/>
      </w:tblGrid>
      <w:tr w14:paraId="16E66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4FA75A4A">
            <w:pPr>
              <w:pStyle w:val="192"/>
              <w:rPr>
                <w:rFonts w:hint="default" w:ascii="Times New Roman" w:hAnsi="Times New Roman" w:cs="Times New Roman"/>
                <w:spacing w:val="-2"/>
                <w:szCs w:val="18"/>
              </w:rPr>
            </w:pPr>
            <w:r>
              <w:rPr>
                <w:rFonts w:hint="default" w:ascii="Times New Roman" w:hAnsi="Times New Roman" w:cs="Times New Roman"/>
                <w:spacing w:val="-2"/>
                <w:szCs w:val="18"/>
              </w:rPr>
              <w:t>项目</w:t>
            </w:r>
          </w:p>
        </w:tc>
        <w:tc>
          <w:tcPr>
            <w:tcW w:w="942" w:type="pct"/>
            <w:shd w:val="clear" w:color="auto" w:fill="auto"/>
          </w:tcPr>
          <w:p w14:paraId="623F9BE7">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857" w:type="pct"/>
            <w:shd w:val="clear" w:color="auto" w:fill="auto"/>
            <w:vAlign w:val="center"/>
          </w:tcPr>
          <w:p w14:paraId="3D4CD0A6">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983" w:type="pct"/>
            <w:shd w:val="clear" w:color="auto" w:fill="auto"/>
            <w:vAlign w:val="center"/>
          </w:tcPr>
          <w:p w14:paraId="46ED4114">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6EA82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6A5FF1BE">
            <w:pPr>
              <w:pStyle w:val="192"/>
              <w:rPr>
                <w:rFonts w:hint="default" w:ascii="Times New Roman" w:hAnsi="Times New Roman" w:cs="Times New Roman"/>
                <w:spacing w:val="-2"/>
                <w:szCs w:val="18"/>
              </w:rPr>
            </w:pPr>
            <w:r>
              <w:rPr>
                <w:rFonts w:hint="default" w:ascii="Times New Roman" w:hAnsi="Times New Roman" w:cs="Times New Roman"/>
                <w:spacing w:val="-2"/>
                <w:szCs w:val="18"/>
              </w:rPr>
              <w:t>软化点（T</w:t>
            </w:r>
            <w:r>
              <w:rPr>
                <w:rFonts w:hint="default" w:ascii="Times New Roman" w:hAnsi="Times New Roman" w:cs="Times New Roman"/>
                <w:spacing w:val="-2"/>
                <w:szCs w:val="18"/>
                <w:vertAlign w:val="subscript"/>
              </w:rPr>
              <w:t>R&amp;B</w:t>
            </w:r>
            <w:r>
              <w:rPr>
                <w:rFonts w:hint="default" w:ascii="Times New Roman" w:hAnsi="Times New Roman" w:cs="Times New Roman"/>
                <w:spacing w:val="-2"/>
                <w:szCs w:val="18"/>
              </w:rPr>
              <w:t>）</w:t>
            </w:r>
          </w:p>
        </w:tc>
        <w:tc>
          <w:tcPr>
            <w:tcW w:w="942" w:type="pct"/>
            <w:shd w:val="clear" w:color="auto" w:fill="auto"/>
          </w:tcPr>
          <w:p w14:paraId="7DCA0027">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4974DB38">
            <w:pPr>
              <w:pStyle w:val="192"/>
              <w:rPr>
                <w:rFonts w:hint="default" w:ascii="Times New Roman" w:hAnsi="Times New Roman" w:cs="Times New Roman"/>
                <w:spacing w:val="-2"/>
                <w:szCs w:val="18"/>
              </w:rPr>
            </w:pPr>
            <w:r>
              <w:rPr>
                <w:rFonts w:hint="default" w:ascii="Times New Roman" w:hAnsi="Times New Roman" w:cs="Times New Roman"/>
                <w:spacing w:val="-2"/>
                <w:szCs w:val="18"/>
              </w:rPr>
              <w:t>≥90</w:t>
            </w:r>
          </w:p>
        </w:tc>
        <w:tc>
          <w:tcPr>
            <w:tcW w:w="983" w:type="pct"/>
            <w:shd w:val="clear" w:color="auto" w:fill="auto"/>
            <w:vAlign w:val="center"/>
          </w:tcPr>
          <w:p w14:paraId="230AC159">
            <w:pPr>
              <w:pStyle w:val="192"/>
              <w:rPr>
                <w:rFonts w:hint="default" w:ascii="Times New Roman" w:hAnsi="Times New Roman" w:cs="Times New Roman"/>
                <w:spacing w:val="-2"/>
                <w:szCs w:val="18"/>
              </w:rPr>
            </w:pPr>
            <w:r>
              <w:rPr>
                <w:rFonts w:hint="default" w:ascii="Times New Roman" w:hAnsi="Times New Roman" w:cs="Times New Roman"/>
                <w:spacing w:val="-2"/>
                <w:szCs w:val="18"/>
              </w:rPr>
              <w:t>T 0606</w:t>
            </w:r>
          </w:p>
        </w:tc>
      </w:tr>
      <w:tr w14:paraId="787FF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4466FF0D">
            <w:pPr>
              <w:pStyle w:val="192"/>
              <w:rPr>
                <w:rFonts w:hint="default" w:ascii="Times New Roman" w:hAnsi="Times New Roman" w:cs="Times New Roman"/>
                <w:spacing w:val="-2"/>
                <w:szCs w:val="18"/>
              </w:rPr>
            </w:pPr>
            <w:r>
              <w:rPr>
                <w:rFonts w:hint="default" w:ascii="Times New Roman" w:hAnsi="Times New Roman" w:cs="Times New Roman"/>
                <w:spacing w:val="-2"/>
                <w:szCs w:val="18"/>
              </w:rPr>
              <w:t xml:space="preserve">锥入度（150g,25℃,5s） </w:t>
            </w:r>
          </w:p>
        </w:tc>
        <w:tc>
          <w:tcPr>
            <w:tcW w:w="942" w:type="pct"/>
            <w:shd w:val="clear" w:color="auto" w:fill="auto"/>
            <w:vAlign w:val="center"/>
          </w:tcPr>
          <w:p w14:paraId="3E53758E">
            <w:pPr>
              <w:pStyle w:val="192"/>
              <w:rPr>
                <w:rFonts w:hint="default" w:ascii="Times New Roman" w:hAnsi="Times New Roman" w:cs="Times New Roman"/>
                <w:spacing w:val="-2"/>
                <w:szCs w:val="18"/>
              </w:rPr>
            </w:pPr>
            <w:r>
              <w:rPr>
                <w:rFonts w:hint="default" w:ascii="Times New Roman" w:hAnsi="Times New Roman" w:cs="Times New Roman"/>
                <w:spacing w:val="-2"/>
                <w:szCs w:val="18"/>
              </w:rPr>
              <w:t>0.1mm</w:t>
            </w:r>
          </w:p>
        </w:tc>
        <w:tc>
          <w:tcPr>
            <w:tcW w:w="857" w:type="pct"/>
            <w:shd w:val="clear" w:color="auto" w:fill="auto"/>
            <w:vAlign w:val="center"/>
          </w:tcPr>
          <w:p w14:paraId="22D1AEA4">
            <w:pPr>
              <w:pStyle w:val="192"/>
              <w:rPr>
                <w:rFonts w:hint="default" w:ascii="Times New Roman" w:hAnsi="Times New Roman" w:cs="Times New Roman"/>
                <w:spacing w:val="-2"/>
                <w:szCs w:val="18"/>
              </w:rPr>
            </w:pPr>
            <w:r>
              <w:rPr>
                <w:rFonts w:hint="default" w:ascii="Times New Roman" w:hAnsi="Times New Roman" w:cs="Times New Roman"/>
                <w:spacing w:val="-2"/>
                <w:szCs w:val="18"/>
              </w:rPr>
              <w:t>50-90</w:t>
            </w:r>
          </w:p>
        </w:tc>
        <w:tc>
          <w:tcPr>
            <w:tcW w:w="983" w:type="pct"/>
            <w:shd w:val="clear" w:color="auto" w:fill="auto"/>
            <w:vAlign w:val="center"/>
          </w:tcPr>
          <w:p w14:paraId="61258C30">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614AA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699A0B63">
            <w:pPr>
              <w:pStyle w:val="192"/>
              <w:rPr>
                <w:rFonts w:hint="default" w:ascii="Times New Roman" w:hAnsi="Times New Roman" w:cs="Times New Roman"/>
                <w:spacing w:val="-2"/>
                <w:szCs w:val="18"/>
              </w:rPr>
            </w:pPr>
            <w:r>
              <w:rPr>
                <w:rFonts w:hint="default" w:ascii="Times New Roman" w:hAnsi="Times New Roman" w:cs="Times New Roman"/>
                <w:spacing w:val="-2"/>
                <w:szCs w:val="18"/>
              </w:rPr>
              <w:t>弹性恢复率 （75g，25℃）</w:t>
            </w:r>
          </w:p>
        </w:tc>
        <w:tc>
          <w:tcPr>
            <w:tcW w:w="942" w:type="pct"/>
            <w:shd w:val="clear" w:color="auto" w:fill="auto"/>
          </w:tcPr>
          <w:p w14:paraId="55B3D04C">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6E4ACCB2">
            <w:pPr>
              <w:pStyle w:val="192"/>
              <w:rPr>
                <w:rFonts w:hint="default" w:ascii="Times New Roman" w:hAnsi="Times New Roman" w:cs="Times New Roman"/>
                <w:spacing w:val="-2"/>
                <w:szCs w:val="18"/>
              </w:rPr>
            </w:pPr>
            <w:r>
              <w:rPr>
                <w:rFonts w:hint="default" w:ascii="Times New Roman" w:hAnsi="Times New Roman" w:cs="Times New Roman"/>
                <w:spacing w:val="-2"/>
                <w:szCs w:val="18"/>
              </w:rPr>
              <w:t>30~70</w:t>
            </w:r>
          </w:p>
        </w:tc>
        <w:tc>
          <w:tcPr>
            <w:tcW w:w="983" w:type="pct"/>
            <w:shd w:val="clear" w:color="auto" w:fill="auto"/>
            <w:vAlign w:val="center"/>
          </w:tcPr>
          <w:p w14:paraId="469BC7BE">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315CC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06F2F4D3">
            <w:pPr>
              <w:pStyle w:val="192"/>
              <w:rPr>
                <w:rFonts w:hint="default" w:ascii="Times New Roman" w:hAnsi="Times New Roman" w:cs="Times New Roman"/>
                <w:spacing w:val="-2"/>
                <w:szCs w:val="18"/>
              </w:rPr>
            </w:pPr>
            <w:r>
              <w:rPr>
                <w:rFonts w:hint="default" w:ascii="Times New Roman" w:hAnsi="Times New Roman" w:cs="Times New Roman"/>
                <w:spacing w:val="-2"/>
                <w:szCs w:val="18"/>
              </w:rPr>
              <w:t>流动值</w:t>
            </w:r>
          </w:p>
        </w:tc>
        <w:tc>
          <w:tcPr>
            <w:tcW w:w="942" w:type="pct"/>
            <w:shd w:val="clear" w:color="auto" w:fill="auto"/>
          </w:tcPr>
          <w:p w14:paraId="31A6E4E5">
            <w:pPr>
              <w:pStyle w:val="192"/>
              <w:rPr>
                <w:rFonts w:hint="default" w:ascii="Times New Roman" w:hAnsi="Times New Roman" w:cs="Times New Roman"/>
                <w:spacing w:val="-2"/>
                <w:szCs w:val="18"/>
              </w:rPr>
            </w:pPr>
            <w:r>
              <w:rPr>
                <w:rFonts w:hint="default" w:ascii="Times New Roman" w:hAnsi="Times New Roman" w:cs="Times New Roman"/>
                <w:spacing w:val="-2"/>
                <w:szCs w:val="18"/>
              </w:rPr>
              <w:t>mm</w:t>
            </w:r>
          </w:p>
        </w:tc>
        <w:tc>
          <w:tcPr>
            <w:tcW w:w="857" w:type="pct"/>
            <w:shd w:val="clear" w:color="auto" w:fill="auto"/>
            <w:vAlign w:val="center"/>
          </w:tcPr>
          <w:p w14:paraId="6AA7FF67">
            <w:pPr>
              <w:pStyle w:val="192"/>
              <w:rPr>
                <w:rFonts w:hint="default" w:ascii="Times New Roman" w:hAnsi="Times New Roman" w:cs="Times New Roman"/>
                <w:spacing w:val="-2"/>
                <w:szCs w:val="18"/>
              </w:rPr>
            </w:pPr>
            <w:r>
              <w:rPr>
                <w:rFonts w:hint="default" w:ascii="Times New Roman" w:hAnsi="Times New Roman" w:cs="Times New Roman"/>
                <w:spacing w:val="-2"/>
                <w:szCs w:val="18"/>
              </w:rPr>
              <w:t>≤3</w:t>
            </w:r>
          </w:p>
        </w:tc>
        <w:tc>
          <w:tcPr>
            <w:tcW w:w="983" w:type="pct"/>
            <w:shd w:val="clear" w:color="auto" w:fill="auto"/>
            <w:vAlign w:val="center"/>
          </w:tcPr>
          <w:p w14:paraId="49FE06EE">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r w14:paraId="34B9F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218" w:type="pct"/>
            <w:shd w:val="clear" w:color="auto" w:fill="auto"/>
            <w:vAlign w:val="center"/>
          </w:tcPr>
          <w:p w14:paraId="4EC907C5">
            <w:pPr>
              <w:pStyle w:val="192"/>
              <w:rPr>
                <w:rFonts w:hint="default" w:ascii="Times New Roman" w:hAnsi="Times New Roman" w:cs="Times New Roman"/>
                <w:spacing w:val="-2"/>
                <w:szCs w:val="18"/>
              </w:rPr>
            </w:pPr>
            <w:r>
              <w:rPr>
                <w:rFonts w:hint="default" w:ascii="Times New Roman" w:hAnsi="Times New Roman" w:cs="Times New Roman"/>
                <w:spacing w:val="-2"/>
                <w:szCs w:val="18"/>
              </w:rPr>
              <w:t>低温拉伸(-10℃，50%，3次循环，)</w:t>
            </w:r>
          </w:p>
        </w:tc>
        <w:tc>
          <w:tcPr>
            <w:tcW w:w="942" w:type="pct"/>
            <w:shd w:val="clear" w:color="auto" w:fill="auto"/>
            <w:vAlign w:val="center"/>
          </w:tcPr>
          <w:p w14:paraId="113BF114">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857" w:type="pct"/>
            <w:shd w:val="clear" w:color="auto" w:fill="auto"/>
            <w:vAlign w:val="center"/>
          </w:tcPr>
          <w:p w14:paraId="439C3DF1">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w:t>
            </w:r>
          </w:p>
        </w:tc>
        <w:tc>
          <w:tcPr>
            <w:tcW w:w="983" w:type="pct"/>
            <w:shd w:val="clear" w:color="auto" w:fill="auto"/>
            <w:vAlign w:val="center"/>
          </w:tcPr>
          <w:p w14:paraId="5C0130CC">
            <w:pPr>
              <w:pStyle w:val="192"/>
              <w:rPr>
                <w:rFonts w:hint="default" w:ascii="Times New Roman" w:hAnsi="Times New Roman" w:cs="Times New Roman"/>
                <w:spacing w:val="-2"/>
                <w:szCs w:val="18"/>
              </w:rPr>
            </w:pPr>
            <w:r>
              <w:rPr>
                <w:rFonts w:hint="default" w:ascii="Times New Roman" w:hAnsi="Times New Roman" w:cs="Times New Roman"/>
                <w:spacing w:val="-2"/>
                <w:szCs w:val="18"/>
              </w:rPr>
              <w:t>JTT 740</w:t>
            </w:r>
          </w:p>
        </w:tc>
      </w:tr>
    </w:tbl>
    <w:p w14:paraId="5C796571">
      <w:pPr>
        <w:pStyle w:val="2"/>
        <w:widowControl/>
        <w:numPr>
          <w:ilvl w:val="0"/>
          <w:numId w:val="17"/>
        </w:numPr>
        <w:spacing w:before="0" w:after="120" w:line="360" w:lineRule="auto"/>
        <w:ind w:left="0" w:firstLine="0"/>
        <w:jc w:val="left"/>
        <w:rPr>
          <w:rFonts w:hint="default" w:ascii="Times New Roman" w:hAnsi="Times New Roman" w:cs="Times New Roman"/>
        </w:rPr>
        <w:sectPr>
          <w:headerReference r:id="rId8" w:type="even"/>
          <w:type w:val="continuous"/>
          <w:pgSz w:w="11906" w:h="16838"/>
          <w:pgMar w:top="1440" w:right="1800" w:bottom="1440" w:left="1800" w:header="851" w:footer="992" w:gutter="0"/>
          <w:cols w:space="425" w:num="1"/>
          <w:docGrid w:type="lines" w:linePitch="312" w:charSpace="0"/>
        </w:sectPr>
      </w:pPr>
    </w:p>
    <w:p w14:paraId="620C4AF0">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43" w:name="_Toc11642"/>
      <w:bookmarkStart w:id="44" w:name="_Toc179636661"/>
      <w:r>
        <w:rPr>
          <w:rFonts w:hint="default" w:ascii="Times New Roman" w:hAnsi="Times New Roman" w:cs="Times New Roman" w:eastAsiaTheme="minorEastAsia"/>
          <w:b/>
          <w:bCs/>
          <w:sz w:val="32"/>
          <w:szCs w:val="22"/>
        </w:rPr>
        <w:t>高延弹沥青混合料配合比设计</w:t>
      </w:r>
      <w:bookmarkEnd w:id="27"/>
      <w:bookmarkEnd w:id="43"/>
      <w:bookmarkEnd w:id="44"/>
    </w:p>
    <w:bookmarkEnd w:id="18"/>
    <w:p w14:paraId="259693B6">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45" w:name="_Toc126742837"/>
      <w:r>
        <w:rPr>
          <w:rFonts w:hint="default" w:ascii="Times New Roman" w:hAnsi="Times New Roman" w:cs="Times New Roman"/>
          <w:sz w:val="24"/>
        </w:rPr>
        <w:t xml:space="preserve"> </w:t>
      </w:r>
      <w:bookmarkStart w:id="46" w:name="_Toc31549"/>
      <w:bookmarkStart w:id="47" w:name="_Toc179636662"/>
      <w:r>
        <w:rPr>
          <w:rFonts w:hint="default" w:ascii="Times New Roman" w:hAnsi="Times New Roman" w:cs="Times New Roman"/>
          <w:sz w:val="24"/>
        </w:rPr>
        <w:t>一般规定</w:t>
      </w:r>
      <w:bookmarkEnd w:id="45"/>
      <w:bookmarkEnd w:id="46"/>
      <w:bookmarkEnd w:id="47"/>
    </w:p>
    <w:p w14:paraId="45244DAD">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高延弹超薄罩面沥青混合料配合比设计应充分考虑使用需求、原路面状况、交通量、气候条件等因素，对混合料进行针对性的性能设计。</w:t>
      </w:r>
    </w:p>
    <w:p w14:paraId="1CC4D1F9">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高延弹超薄罩面混合料配合比设计应采用马歇尔设计方法，混合料参照《排水沥青路面设计与施工技术规范》（JTG/T 3350-03）的有关规定进行配合比设计。</w:t>
      </w:r>
    </w:p>
    <w:p w14:paraId="4E40CE9B">
      <w:pPr>
        <w:pStyle w:val="29"/>
        <w:numPr>
          <w:ilvl w:val="2"/>
          <w:numId w:val="17"/>
        </w:numPr>
        <w:tabs>
          <w:tab w:val="center"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sz w:val="24"/>
        </w:rPr>
        <w:t>高延弹超薄罩面的沥青混合料配合比设计，应按现行规范关于热拌沥青混合料配合比设计中“目标配合比、生产配合比和试拌试铺验证”三个阶段进行，确定矿料级配及最佳沥青用量。</w:t>
      </w:r>
    </w:p>
    <w:p w14:paraId="1A34E067">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48" w:name="_Toc179636663"/>
      <w:bookmarkStart w:id="49" w:name="_Toc881"/>
      <w:r>
        <w:rPr>
          <w:rFonts w:hint="default" w:ascii="Times New Roman" w:hAnsi="Times New Roman" w:cs="Times New Roman"/>
          <w:sz w:val="24"/>
        </w:rPr>
        <w:t>混合料技术指标</w:t>
      </w:r>
      <w:bookmarkEnd w:id="48"/>
      <w:bookmarkEnd w:id="49"/>
    </w:p>
    <w:p w14:paraId="2BDD6614">
      <w:pPr>
        <w:numPr>
          <w:ilvl w:val="2"/>
          <w:numId w:val="17"/>
        </w:numPr>
        <w:spacing w:line="360" w:lineRule="auto"/>
        <w:rPr>
          <w:rFonts w:hint="default" w:ascii="Times New Roman" w:hAnsi="Times New Roman" w:cs="Times New Roman"/>
          <w:sz w:val="24"/>
          <w:szCs w:val="32"/>
        </w:rPr>
      </w:pPr>
      <w:bookmarkStart w:id="50" w:name="_Hlk89790592"/>
      <w:r>
        <w:rPr>
          <w:rFonts w:hint="default" w:ascii="Times New Roman" w:hAnsi="Times New Roman" w:cs="Times New Roman"/>
          <w:sz w:val="24"/>
          <w:szCs w:val="32"/>
        </w:rPr>
        <w:t>高延弹超薄罩面混合料矿料级配范围应符合表6.2.1的规定。</w:t>
      </w:r>
    </w:p>
    <w:p w14:paraId="67A1E7A1">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表6.2.1高延弹超薄罩面混合料矿料级配范围</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3"/>
        <w:gridCol w:w="813"/>
        <w:gridCol w:w="814"/>
        <w:gridCol w:w="814"/>
        <w:gridCol w:w="815"/>
        <w:gridCol w:w="814"/>
        <w:gridCol w:w="814"/>
        <w:gridCol w:w="815"/>
        <w:gridCol w:w="814"/>
        <w:gridCol w:w="820"/>
      </w:tblGrid>
      <w:tr w14:paraId="2F3B0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602" w:type="pct"/>
            <w:vMerge w:val="restart"/>
            <w:shd w:val="clear" w:color="auto" w:fill="auto"/>
            <w:vAlign w:val="center"/>
          </w:tcPr>
          <w:p w14:paraId="493FE793">
            <w:pPr>
              <w:pStyle w:val="192"/>
              <w:rPr>
                <w:rFonts w:hint="default" w:ascii="Times New Roman" w:hAnsi="Times New Roman" w:cs="Times New Roman"/>
                <w:spacing w:val="-2"/>
                <w:szCs w:val="18"/>
              </w:rPr>
            </w:pPr>
            <w:bookmarkStart w:id="51" w:name="_Hlk102139498"/>
            <w:r>
              <w:rPr>
                <w:rFonts w:hint="default" w:ascii="Times New Roman" w:hAnsi="Times New Roman" w:cs="Times New Roman"/>
                <w:spacing w:val="-2"/>
                <w:szCs w:val="18"/>
              </w:rPr>
              <w:t>规格</w:t>
            </w:r>
          </w:p>
        </w:tc>
        <w:tc>
          <w:tcPr>
            <w:tcW w:w="4398" w:type="pct"/>
            <w:gridSpan w:val="9"/>
          </w:tcPr>
          <w:p w14:paraId="33A3D54F">
            <w:pPr>
              <w:pStyle w:val="192"/>
              <w:rPr>
                <w:rFonts w:hint="default" w:ascii="Times New Roman" w:hAnsi="Times New Roman" w:cs="Times New Roman"/>
                <w:spacing w:val="-2"/>
                <w:szCs w:val="18"/>
              </w:rPr>
            </w:pPr>
            <w:r>
              <w:rPr>
                <w:rFonts w:hint="default" w:ascii="Times New Roman" w:hAnsi="Times New Roman" w:cs="Times New Roman"/>
                <w:spacing w:val="-2"/>
                <w:szCs w:val="18"/>
              </w:rPr>
              <w:t>通过各个筛孔的质量百分率（％）</w:t>
            </w:r>
          </w:p>
        </w:tc>
      </w:tr>
      <w:tr w14:paraId="30F1B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602" w:type="pct"/>
            <w:vMerge w:val="continue"/>
            <w:shd w:val="clear" w:color="auto" w:fill="auto"/>
          </w:tcPr>
          <w:p w14:paraId="06C3BC54">
            <w:pPr>
              <w:pStyle w:val="192"/>
              <w:rPr>
                <w:rFonts w:hint="default" w:ascii="Times New Roman" w:hAnsi="Times New Roman" w:cs="Times New Roman"/>
                <w:spacing w:val="-2"/>
                <w:szCs w:val="18"/>
              </w:rPr>
            </w:pPr>
          </w:p>
        </w:tc>
        <w:tc>
          <w:tcPr>
            <w:tcW w:w="488" w:type="pct"/>
          </w:tcPr>
          <w:p w14:paraId="1E1C9159">
            <w:pPr>
              <w:pStyle w:val="192"/>
              <w:rPr>
                <w:rFonts w:hint="default" w:ascii="Times New Roman" w:hAnsi="Times New Roman" w:cs="Times New Roman"/>
                <w:spacing w:val="-2"/>
                <w:szCs w:val="18"/>
              </w:rPr>
            </w:pPr>
            <w:r>
              <w:rPr>
                <w:rFonts w:hint="default" w:ascii="Times New Roman" w:hAnsi="Times New Roman" w:cs="Times New Roman"/>
                <w:spacing w:val="-2"/>
                <w:szCs w:val="18"/>
              </w:rPr>
              <w:t>13.2</w:t>
            </w:r>
          </w:p>
        </w:tc>
        <w:tc>
          <w:tcPr>
            <w:tcW w:w="488" w:type="pct"/>
            <w:shd w:val="clear" w:color="auto" w:fill="auto"/>
          </w:tcPr>
          <w:p w14:paraId="4900CAF7">
            <w:pPr>
              <w:pStyle w:val="192"/>
              <w:rPr>
                <w:rFonts w:hint="default" w:ascii="Times New Roman" w:hAnsi="Times New Roman" w:cs="Times New Roman"/>
                <w:spacing w:val="-2"/>
                <w:szCs w:val="18"/>
              </w:rPr>
            </w:pPr>
            <w:r>
              <w:rPr>
                <w:rFonts w:hint="default" w:ascii="Times New Roman" w:hAnsi="Times New Roman" w:cs="Times New Roman"/>
                <w:spacing w:val="-2"/>
                <w:szCs w:val="18"/>
              </w:rPr>
              <w:t>9.5</w:t>
            </w:r>
          </w:p>
        </w:tc>
        <w:tc>
          <w:tcPr>
            <w:tcW w:w="488" w:type="pct"/>
            <w:shd w:val="clear" w:color="auto" w:fill="auto"/>
          </w:tcPr>
          <w:p w14:paraId="3E773215">
            <w:pPr>
              <w:pStyle w:val="192"/>
              <w:rPr>
                <w:rFonts w:hint="default" w:ascii="Times New Roman" w:hAnsi="Times New Roman" w:cs="Times New Roman"/>
                <w:spacing w:val="-2"/>
                <w:szCs w:val="18"/>
              </w:rPr>
            </w:pPr>
            <w:r>
              <w:rPr>
                <w:rFonts w:hint="default" w:ascii="Times New Roman" w:hAnsi="Times New Roman" w:cs="Times New Roman"/>
                <w:spacing w:val="-2"/>
                <w:szCs w:val="18"/>
              </w:rPr>
              <w:t>4.75</w:t>
            </w:r>
          </w:p>
        </w:tc>
        <w:tc>
          <w:tcPr>
            <w:tcW w:w="489" w:type="pct"/>
            <w:shd w:val="clear" w:color="auto" w:fill="auto"/>
          </w:tcPr>
          <w:p w14:paraId="7DC92CFC">
            <w:pPr>
              <w:pStyle w:val="192"/>
              <w:rPr>
                <w:rFonts w:hint="default" w:ascii="Times New Roman" w:hAnsi="Times New Roman" w:cs="Times New Roman"/>
                <w:spacing w:val="-2"/>
                <w:szCs w:val="18"/>
              </w:rPr>
            </w:pPr>
            <w:r>
              <w:rPr>
                <w:rFonts w:hint="default" w:ascii="Times New Roman" w:hAnsi="Times New Roman" w:cs="Times New Roman"/>
                <w:spacing w:val="-2"/>
                <w:szCs w:val="18"/>
              </w:rPr>
              <w:t>2.36</w:t>
            </w:r>
          </w:p>
        </w:tc>
        <w:tc>
          <w:tcPr>
            <w:tcW w:w="488" w:type="pct"/>
            <w:shd w:val="clear" w:color="auto" w:fill="auto"/>
          </w:tcPr>
          <w:p w14:paraId="29CFCC30">
            <w:pPr>
              <w:pStyle w:val="192"/>
              <w:rPr>
                <w:rFonts w:hint="default" w:ascii="Times New Roman" w:hAnsi="Times New Roman" w:cs="Times New Roman"/>
                <w:spacing w:val="-2"/>
                <w:szCs w:val="18"/>
              </w:rPr>
            </w:pPr>
            <w:r>
              <w:rPr>
                <w:rFonts w:hint="default" w:ascii="Times New Roman" w:hAnsi="Times New Roman" w:cs="Times New Roman"/>
                <w:spacing w:val="-2"/>
                <w:szCs w:val="18"/>
              </w:rPr>
              <w:t>1.18</w:t>
            </w:r>
          </w:p>
        </w:tc>
        <w:tc>
          <w:tcPr>
            <w:tcW w:w="488" w:type="pct"/>
            <w:shd w:val="clear" w:color="auto" w:fill="auto"/>
          </w:tcPr>
          <w:p w14:paraId="23D92508">
            <w:pPr>
              <w:pStyle w:val="192"/>
              <w:rPr>
                <w:rFonts w:hint="default" w:ascii="Times New Roman" w:hAnsi="Times New Roman" w:cs="Times New Roman"/>
                <w:spacing w:val="-2"/>
                <w:szCs w:val="18"/>
              </w:rPr>
            </w:pPr>
            <w:r>
              <w:rPr>
                <w:rFonts w:hint="default" w:ascii="Times New Roman" w:hAnsi="Times New Roman" w:cs="Times New Roman"/>
                <w:spacing w:val="-2"/>
                <w:szCs w:val="18"/>
              </w:rPr>
              <w:t>0.6</w:t>
            </w:r>
          </w:p>
        </w:tc>
        <w:tc>
          <w:tcPr>
            <w:tcW w:w="489" w:type="pct"/>
            <w:shd w:val="clear" w:color="auto" w:fill="auto"/>
          </w:tcPr>
          <w:p w14:paraId="5C6E6458">
            <w:pPr>
              <w:pStyle w:val="192"/>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488" w:type="pct"/>
            <w:shd w:val="clear" w:color="auto" w:fill="auto"/>
          </w:tcPr>
          <w:p w14:paraId="120C65E7">
            <w:pPr>
              <w:pStyle w:val="192"/>
              <w:rPr>
                <w:rFonts w:hint="default" w:ascii="Times New Roman" w:hAnsi="Times New Roman" w:cs="Times New Roman"/>
                <w:spacing w:val="-2"/>
                <w:szCs w:val="18"/>
              </w:rPr>
            </w:pPr>
            <w:r>
              <w:rPr>
                <w:rFonts w:hint="default" w:ascii="Times New Roman" w:hAnsi="Times New Roman" w:cs="Times New Roman"/>
                <w:spacing w:val="-2"/>
                <w:szCs w:val="18"/>
              </w:rPr>
              <w:t>0.15</w:t>
            </w:r>
          </w:p>
        </w:tc>
        <w:tc>
          <w:tcPr>
            <w:tcW w:w="492" w:type="pct"/>
            <w:shd w:val="clear" w:color="auto" w:fill="auto"/>
          </w:tcPr>
          <w:p w14:paraId="00AE11E8">
            <w:pPr>
              <w:pStyle w:val="192"/>
              <w:rPr>
                <w:rFonts w:hint="default" w:ascii="Times New Roman" w:hAnsi="Times New Roman" w:cs="Times New Roman"/>
                <w:spacing w:val="-2"/>
                <w:szCs w:val="18"/>
              </w:rPr>
            </w:pPr>
            <w:r>
              <w:rPr>
                <w:rFonts w:hint="default" w:ascii="Times New Roman" w:hAnsi="Times New Roman" w:cs="Times New Roman"/>
                <w:spacing w:val="-2"/>
                <w:szCs w:val="18"/>
              </w:rPr>
              <w:t>0.075</w:t>
            </w:r>
          </w:p>
        </w:tc>
      </w:tr>
      <w:tr w14:paraId="6211D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 w:hRule="atLeast"/>
        </w:trPr>
        <w:tc>
          <w:tcPr>
            <w:tcW w:w="602" w:type="pct"/>
            <w:shd w:val="clear" w:color="auto" w:fill="auto"/>
          </w:tcPr>
          <w:p w14:paraId="43839E8B">
            <w:pPr>
              <w:pStyle w:val="192"/>
              <w:rPr>
                <w:rFonts w:hint="default" w:ascii="Times New Roman" w:hAnsi="Times New Roman" w:cs="Times New Roman"/>
                <w:spacing w:val="-2"/>
                <w:szCs w:val="18"/>
              </w:rPr>
            </w:pPr>
            <w:r>
              <w:rPr>
                <w:rFonts w:hint="default" w:ascii="Times New Roman" w:hAnsi="Times New Roman" w:cs="Times New Roman"/>
                <w:spacing w:val="-2"/>
                <w:szCs w:val="18"/>
              </w:rPr>
              <w:t>DTO-5</w:t>
            </w:r>
          </w:p>
        </w:tc>
        <w:tc>
          <w:tcPr>
            <w:tcW w:w="488" w:type="pct"/>
          </w:tcPr>
          <w:p w14:paraId="2B66150C">
            <w:pPr>
              <w:pStyle w:val="192"/>
              <w:rPr>
                <w:rFonts w:hint="default" w:ascii="Times New Roman" w:hAnsi="Times New Roman" w:cs="Times New Roman"/>
                <w:spacing w:val="-2"/>
                <w:szCs w:val="18"/>
              </w:rPr>
            </w:pPr>
          </w:p>
        </w:tc>
        <w:tc>
          <w:tcPr>
            <w:tcW w:w="488" w:type="pct"/>
            <w:shd w:val="clear" w:color="auto" w:fill="auto"/>
          </w:tcPr>
          <w:p w14:paraId="064247BA">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488" w:type="pct"/>
            <w:shd w:val="clear" w:color="auto" w:fill="auto"/>
          </w:tcPr>
          <w:p w14:paraId="37C6604B">
            <w:pPr>
              <w:pStyle w:val="192"/>
              <w:rPr>
                <w:rFonts w:hint="default" w:ascii="Times New Roman" w:hAnsi="Times New Roman" w:cs="Times New Roman"/>
                <w:spacing w:val="-2"/>
                <w:szCs w:val="18"/>
              </w:rPr>
            </w:pPr>
            <w:r>
              <w:rPr>
                <w:rFonts w:hint="default" w:ascii="Times New Roman" w:hAnsi="Times New Roman" w:cs="Times New Roman"/>
                <w:spacing w:val="-2"/>
                <w:szCs w:val="18"/>
              </w:rPr>
              <w:t>65~100</w:t>
            </w:r>
          </w:p>
        </w:tc>
        <w:tc>
          <w:tcPr>
            <w:tcW w:w="489" w:type="pct"/>
            <w:shd w:val="clear" w:color="auto" w:fill="auto"/>
          </w:tcPr>
          <w:p w14:paraId="50690027">
            <w:pPr>
              <w:pStyle w:val="192"/>
              <w:rPr>
                <w:rFonts w:hint="default" w:ascii="Times New Roman" w:hAnsi="Times New Roman" w:cs="Times New Roman"/>
                <w:spacing w:val="-2"/>
                <w:szCs w:val="18"/>
              </w:rPr>
            </w:pPr>
            <w:r>
              <w:rPr>
                <w:rFonts w:hint="default" w:ascii="Times New Roman" w:hAnsi="Times New Roman" w:cs="Times New Roman"/>
                <w:spacing w:val="-2"/>
                <w:szCs w:val="18"/>
              </w:rPr>
              <w:t>15~30</w:t>
            </w:r>
          </w:p>
        </w:tc>
        <w:tc>
          <w:tcPr>
            <w:tcW w:w="488" w:type="pct"/>
            <w:shd w:val="clear" w:color="auto" w:fill="auto"/>
          </w:tcPr>
          <w:p w14:paraId="6737A903">
            <w:pPr>
              <w:pStyle w:val="192"/>
              <w:rPr>
                <w:rFonts w:hint="default" w:ascii="Times New Roman" w:hAnsi="Times New Roman" w:cs="Times New Roman"/>
                <w:spacing w:val="-2"/>
                <w:szCs w:val="18"/>
              </w:rPr>
            </w:pPr>
            <w:r>
              <w:rPr>
                <w:rFonts w:hint="default" w:ascii="Times New Roman" w:hAnsi="Times New Roman" w:cs="Times New Roman"/>
                <w:spacing w:val="-2"/>
                <w:szCs w:val="18"/>
              </w:rPr>
              <w:t>5~20</w:t>
            </w:r>
          </w:p>
        </w:tc>
        <w:tc>
          <w:tcPr>
            <w:tcW w:w="488" w:type="pct"/>
            <w:shd w:val="clear" w:color="auto" w:fill="auto"/>
          </w:tcPr>
          <w:p w14:paraId="5D5BD7EB">
            <w:pPr>
              <w:pStyle w:val="192"/>
              <w:rPr>
                <w:rFonts w:hint="default" w:ascii="Times New Roman" w:hAnsi="Times New Roman" w:cs="Times New Roman"/>
                <w:spacing w:val="-2"/>
                <w:szCs w:val="18"/>
              </w:rPr>
            </w:pPr>
            <w:r>
              <w:rPr>
                <w:rFonts w:hint="default" w:ascii="Times New Roman" w:hAnsi="Times New Roman" w:cs="Times New Roman"/>
                <w:spacing w:val="-2"/>
                <w:szCs w:val="18"/>
              </w:rPr>
              <w:t>3~18</w:t>
            </w:r>
          </w:p>
        </w:tc>
        <w:tc>
          <w:tcPr>
            <w:tcW w:w="489" w:type="pct"/>
            <w:shd w:val="clear" w:color="auto" w:fill="auto"/>
          </w:tcPr>
          <w:p w14:paraId="27772791">
            <w:pPr>
              <w:pStyle w:val="192"/>
              <w:rPr>
                <w:rFonts w:hint="default" w:ascii="Times New Roman" w:hAnsi="Times New Roman" w:cs="Times New Roman"/>
                <w:spacing w:val="-2"/>
                <w:szCs w:val="18"/>
              </w:rPr>
            </w:pPr>
            <w:r>
              <w:rPr>
                <w:rFonts w:hint="default" w:ascii="Times New Roman" w:hAnsi="Times New Roman" w:cs="Times New Roman"/>
                <w:spacing w:val="-2"/>
                <w:szCs w:val="18"/>
              </w:rPr>
              <w:t>2~15</w:t>
            </w:r>
          </w:p>
        </w:tc>
        <w:tc>
          <w:tcPr>
            <w:tcW w:w="488" w:type="pct"/>
            <w:shd w:val="clear" w:color="auto" w:fill="auto"/>
          </w:tcPr>
          <w:p w14:paraId="2135AD4F">
            <w:pPr>
              <w:pStyle w:val="192"/>
              <w:rPr>
                <w:rFonts w:hint="default" w:ascii="Times New Roman" w:hAnsi="Times New Roman" w:cs="Times New Roman"/>
                <w:spacing w:val="-2"/>
                <w:szCs w:val="18"/>
              </w:rPr>
            </w:pPr>
            <w:r>
              <w:rPr>
                <w:rFonts w:hint="default" w:ascii="Times New Roman" w:hAnsi="Times New Roman" w:cs="Times New Roman"/>
                <w:spacing w:val="-2"/>
                <w:szCs w:val="18"/>
              </w:rPr>
              <w:t>2~10</w:t>
            </w:r>
          </w:p>
        </w:tc>
        <w:tc>
          <w:tcPr>
            <w:tcW w:w="492" w:type="pct"/>
            <w:shd w:val="clear" w:color="auto" w:fill="auto"/>
          </w:tcPr>
          <w:p w14:paraId="23467C0E">
            <w:pPr>
              <w:pStyle w:val="192"/>
              <w:rPr>
                <w:rFonts w:hint="default" w:ascii="Times New Roman" w:hAnsi="Times New Roman" w:cs="Times New Roman"/>
                <w:spacing w:val="-2"/>
                <w:szCs w:val="18"/>
              </w:rPr>
            </w:pPr>
            <w:r>
              <w:rPr>
                <w:rFonts w:hint="default" w:ascii="Times New Roman" w:hAnsi="Times New Roman" w:cs="Times New Roman"/>
                <w:spacing w:val="-2"/>
                <w:szCs w:val="18"/>
              </w:rPr>
              <w:t>0~7</w:t>
            </w:r>
          </w:p>
        </w:tc>
      </w:tr>
      <w:tr w14:paraId="2ACCC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02" w:type="pct"/>
            <w:shd w:val="clear" w:color="auto" w:fill="auto"/>
          </w:tcPr>
          <w:p w14:paraId="6234F7E7">
            <w:pPr>
              <w:pStyle w:val="192"/>
              <w:rPr>
                <w:rFonts w:hint="default" w:ascii="Times New Roman" w:hAnsi="Times New Roman" w:cs="Times New Roman"/>
                <w:spacing w:val="-2"/>
                <w:szCs w:val="18"/>
              </w:rPr>
            </w:pPr>
            <w:r>
              <w:rPr>
                <w:rFonts w:hint="default" w:ascii="Times New Roman" w:hAnsi="Times New Roman" w:cs="Times New Roman"/>
                <w:spacing w:val="-2"/>
                <w:szCs w:val="18"/>
              </w:rPr>
              <w:t>DTO-10</w:t>
            </w:r>
          </w:p>
        </w:tc>
        <w:tc>
          <w:tcPr>
            <w:tcW w:w="488" w:type="pct"/>
          </w:tcPr>
          <w:p w14:paraId="251756CD">
            <w:pPr>
              <w:pStyle w:val="192"/>
              <w:rPr>
                <w:rFonts w:hint="default" w:ascii="Times New Roman" w:hAnsi="Times New Roman" w:cs="Times New Roman"/>
                <w:spacing w:val="-2"/>
                <w:szCs w:val="18"/>
              </w:rPr>
            </w:pPr>
            <w:r>
              <w:rPr>
                <w:rFonts w:hint="default" w:ascii="Times New Roman" w:hAnsi="Times New Roman" w:cs="Times New Roman"/>
                <w:spacing w:val="-2"/>
                <w:szCs w:val="18"/>
              </w:rPr>
              <w:t>100</w:t>
            </w:r>
          </w:p>
        </w:tc>
        <w:tc>
          <w:tcPr>
            <w:tcW w:w="488" w:type="pct"/>
            <w:shd w:val="clear" w:color="auto" w:fill="auto"/>
          </w:tcPr>
          <w:p w14:paraId="0B69AFF2">
            <w:pPr>
              <w:pStyle w:val="192"/>
              <w:rPr>
                <w:rFonts w:hint="default" w:ascii="Times New Roman" w:hAnsi="Times New Roman" w:cs="Times New Roman"/>
                <w:spacing w:val="-2"/>
                <w:szCs w:val="18"/>
              </w:rPr>
            </w:pPr>
            <w:r>
              <w:rPr>
                <w:rFonts w:hint="default" w:ascii="Times New Roman" w:hAnsi="Times New Roman" w:cs="Times New Roman"/>
                <w:spacing w:val="-2"/>
                <w:szCs w:val="18"/>
              </w:rPr>
              <w:t>85~100</w:t>
            </w:r>
          </w:p>
        </w:tc>
        <w:tc>
          <w:tcPr>
            <w:tcW w:w="488" w:type="pct"/>
            <w:shd w:val="clear" w:color="auto" w:fill="auto"/>
          </w:tcPr>
          <w:p w14:paraId="708F969A">
            <w:pPr>
              <w:pStyle w:val="192"/>
              <w:rPr>
                <w:rFonts w:hint="default" w:ascii="Times New Roman" w:hAnsi="Times New Roman" w:cs="Times New Roman"/>
                <w:spacing w:val="-2"/>
                <w:szCs w:val="18"/>
              </w:rPr>
            </w:pPr>
            <w:r>
              <w:rPr>
                <w:rFonts w:hint="default" w:ascii="Times New Roman" w:hAnsi="Times New Roman" w:cs="Times New Roman"/>
                <w:spacing w:val="-2"/>
                <w:szCs w:val="18"/>
              </w:rPr>
              <w:t>35~60</w:t>
            </w:r>
          </w:p>
        </w:tc>
        <w:tc>
          <w:tcPr>
            <w:tcW w:w="489" w:type="pct"/>
            <w:shd w:val="clear" w:color="auto" w:fill="auto"/>
          </w:tcPr>
          <w:p w14:paraId="4F917AEB">
            <w:pPr>
              <w:pStyle w:val="192"/>
              <w:rPr>
                <w:rFonts w:hint="default" w:ascii="Times New Roman" w:hAnsi="Times New Roman" w:cs="Times New Roman"/>
                <w:spacing w:val="-2"/>
                <w:szCs w:val="18"/>
              </w:rPr>
            </w:pPr>
            <w:r>
              <w:rPr>
                <w:rFonts w:hint="default" w:ascii="Times New Roman" w:hAnsi="Times New Roman" w:cs="Times New Roman"/>
                <w:spacing w:val="-2"/>
                <w:szCs w:val="18"/>
              </w:rPr>
              <w:t>15~35</w:t>
            </w:r>
          </w:p>
        </w:tc>
        <w:tc>
          <w:tcPr>
            <w:tcW w:w="488" w:type="pct"/>
            <w:shd w:val="clear" w:color="auto" w:fill="auto"/>
          </w:tcPr>
          <w:p w14:paraId="1B2575A5">
            <w:pPr>
              <w:pStyle w:val="192"/>
              <w:rPr>
                <w:rFonts w:hint="default" w:ascii="Times New Roman" w:hAnsi="Times New Roman" w:cs="Times New Roman"/>
                <w:spacing w:val="-2"/>
                <w:szCs w:val="18"/>
              </w:rPr>
            </w:pPr>
            <w:r>
              <w:rPr>
                <w:rFonts w:hint="default" w:ascii="Times New Roman" w:hAnsi="Times New Roman" w:cs="Times New Roman"/>
                <w:spacing w:val="-2"/>
                <w:szCs w:val="18"/>
              </w:rPr>
              <w:t>8~25</w:t>
            </w:r>
          </w:p>
        </w:tc>
        <w:tc>
          <w:tcPr>
            <w:tcW w:w="488" w:type="pct"/>
            <w:shd w:val="clear" w:color="auto" w:fill="auto"/>
          </w:tcPr>
          <w:p w14:paraId="071F007B">
            <w:pPr>
              <w:pStyle w:val="192"/>
              <w:rPr>
                <w:rFonts w:hint="default" w:ascii="Times New Roman" w:hAnsi="Times New Roman" w:cs="Times New Roman"/>
                <w:spacing w:val="-2"/>
                <w:szCs w:val="18"/>
              </w:rPr>
            </w:pPr>
            <w:r>
              <w:rPr>
                <w:rFonts w:hint="default" w:ascii="Times New Roman" w:hAnsi="Times New Roman" w:cs="Times New Roman"/>
                <w:spacing w:val="-2"/>
                <w:szCs w:val="18"/>
              </w:rPr>
              <w:t>6~20</w:t>
            </w:r>
          </w:p>
        </w:tc>
        <w:tc>
          <w:tcPr>
            <w:tcW w:w="489" w:type="pct"/>
            <w:shd w:val="clear" w:color="auto" w:fill="auto"/>
          </w:tcPr>
          <w:p w14:paraId="4B621160">
            <w:pPr>
              <w:pStyle w:val="192"/>
              <w:rPr>
                <w:rFonts w:hint="default" w:ascii="Times New Roman" w:hAnsi="Times New Roman" w:cs="Times New Roman"/>
                <w:spacing w:val="-2"/>
                <w:szCs w:val="18"/>
              </w:rPr>
            </w:pPr>
            <w:r>
              <w:rPr>
                <w:rFonts w:hint="default" w:ascii="Times New Roman" w:hAnsi="Times New Roman" w:cs="Times New Roman"/>
                <w:spacing w:val="-2"/>
                <w:szCs w:val="18"/>
              </w:rPr>
              <w:t>5~15</w:t>
            </w:r>
          </w:p>
        </w:tc>
        <w:tc>
          <w:tcPr>
            <w:tcW w:w="488" w:type="pct"/>
            <w:shd w:val="clear" w:color="auto" w:fill="auto"/>
          </w:tcPr>
          <w:p w14:paraId="0C416D8A">
            <w:pPr>
              <w:pStyle w:val="192"/>
              <w:rPr>
                <w:rFonts w:hint="default" w:ascii="Times New Roman" w:hAnsi="Times New Roman" w:cs="Times New Roman"/>
                <w:spacing w:val="-2"/>
                <w:szCs w:val="18"/>
              </w:rPr>
            </w:pPr>
            <w:r>
              <w:rPr>
                <w:rFonts w:hint="default" w:ascii="Times New Roman" w:hAnsi="Times New Roman" w:cs="Times New Roman"/>
                <w:spacing w:val="-2"/>
                <w:szCs w:val="18"/>
              </w:rPr>
              <w:t>4~12</w:t>
            </w:r>
          </w:p>
        </w:tc>
        <w:tc>
          <w:tcPr>
            <w:tcW w:w="492" w:type="pct"/>
            <w:shd w:val="clear" w:color="auto" w:fill="auto"/>
          </w:tcPr>
          <w:p w14:paraId="4513FC8F">
            <w:pPr>
              <w:pStyle w:val="192"/>
              <w:rPr>
                <w:rFonts w:hint="default" w:ascii="Times New Roman" w:hAnsi="Times New Roman" w:cs="Times New Roman"/>
                <w:spacing w:val="-2"/>
                <w:szCs w:val="18"/>
              </w:rPr>
            </w:pPr>
            <w:r>
              <w:rPr>
                <w:rFonts w:hint="default" w:ascii="Times New Roman" w:hAnsi="Times New Roman" w:cs="Times New Roman"/>
                <w:spacing w:val="-2"/>
                <w:szCs w:val="18"/>
              </w:rPr>
              <w:t>3~8</w:t>
            </w:r>
          </w:p>
        </w:tc>
      </w:tr>
      <w:bookmarkEnd w:id="51"/>
    </w:tbl>
    <w:p w14:paraId="0C143E85">
      <w:pPr>
        <w:numPr>
          <w:ilvl w:val="2"/>
          <w:numId w:val="17"/>
        </w:numPr>
        <w:spacing w:line="360" w:lineRule="auto"/>
        <w:ind w:left="0" w:firstLine="708" w:firstLineChars="295"/>
        <w:rPr>
          <w:rFonts w:hint="default" w:ascii="Times New Roman" w:hAnsi="Times New Roman" w:cs="Times New Roman"/>
          <w:kern w:val="0"/>
          <w:sz w:val="24"/>
          <w:szCs w:val="20"/>
        </w:rPr>
      </w:pPr>
      <w:r>
        <w:rPr>
          <w:rFonts w:hint="default" w:ascii="Times New Roman" w:hAnsi="Times New Roman" w:cs="Times New Roman"/>
          <w:kern w:val="0"/>
          <w:sz w:val="24"/>
          <w:szCs w:val="20"/>
        </w:rPr>
        <w:t>高延弹超薄罩面矿料级配类型的沥青混合料应按表6.2.2规定进行性能试验验证。</w:t>
      </w:r>
    </w:p>
    <w:p w14:paraId="7FAF25EA">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表6.2.2 DTO混合料技术指标</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41"/>
        <w:gridCol w:w="1857"/>
        <w:gridCol w:w="1287"/>
        <w:gridCol w:w="1856"/>
        <w:gridCol w:w="1495"/>
      </w:tblGrid>
      <w:tr w14:paraId="2A4D1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7D4E8BA6">
            <w:pPr>
              <w:pStyle w:val="192"/>
              <w:rPr>
                <w:rFonts w:hint="default" w:ascii="Times New Roman" w:hAnsi="Times New Roman" w:cs="Times New Roman"/>
                <w:spacing w:val="-2"/>
                <w:szCs w:val="18"/>
              </w:rPr>
            </w:pPr>
            <w:r>
              <w:rPr>
                <w:rFonts w:hint="default" w:ascii="Times New Roman" w:hAnsi="Times New Roman" w:cs="Times New Roman"/>
                <w:spacing w:val="-2"/>
                <w:szCs w:val="18"/>
              </w:rPr>
              <w:t>指标</w:t>
            </w:r>
          </w:p>
        </w:tc>
        <w:tc>
          <w:tcPr>
            <w:tcW w:w="772" w:type="pct"/>
            <w:shd w:val="clear" w:color="auto" w:fill="auto"/>
          </w:tcPr>
          <w:p w14:paraId="49505312">
            <w:pPr>
              <w:pStyle w:val="192"/>
              <w:rPr>
                <w:rFonts w:hint="default" w:ascii="Times New Roman" w:hAnsi="Times New Roman" w:cs="Times New Roman"/>
                <w:spacing w:val="-2"/>
                <w:szCs w:val="18"/>
              </w:rPr>
            </w:pPr>
            <w:r>
              <w:rPr>
                <w:rFonts w:hint="default" w:ascii="Times New Roman" w:hAnsi="Times New Roman" w:cs="Times New Roman"/>
                <w:spacing w:val="-2"/>
                <w:szCs w:val="18"/>
              </w:rPr>
              <w:t>单位</w:t>
            </w:r>
          </w:p>
        </w:tc>
        <w:tc>
          <w:tcPr>
            <w:tcW w:w="1113" w:type="pct"/>
            <w:shd w:val="clear" w:color="auto" w:fill="auto"/>
          </w:tcPr>
          <w:p w14:paraId="298FA571">
            <w:pPr>
              <w:pStyle w:val="192"/>
              <w:rPr>
                <w:rFonts w:hint="default" w:ascii="Times New Roman" w:hAnsi="Times New Roman" w:cs="Times New Roman"/>
                <w:spacing w:val="-2"/>
                <w:szCs w:val="18"/>
              </w:rPr>
            </w:pPr>
            <w:r>
              <w:rPr>
                <w:rFonts w:hint="default" w:ascii="Times New Roman" w:hAnsi="Times New Roman" w:cs="Times New Roman"/>
                <w:spacing w:val="-2"/>
                <w:szCs w:val="18"/>
              </w:rPr>
              <w:t>技术指标</w:t>
            </w:r>
          </w:p>
        </w:tc>
        <w:tc>
          <w:tcPr>
            <w:tcW w:w="897" w:type="pct"/>
            <w:shd w:val="clear" w:color="auto" w:fill="auto"/>
          </w:tcPr>
          <w:p w14:paraId="06CAB9F8">
            <w:pPr>
              <w:pStyle w:val="192"/>
              <w:rPr>
                <w:rFonts w:hint="default" w:ascii="Times New Roman" w:hAnsi="Times New Roman" w:cs="Times New Roman"/>
                <w:spacing w:val="-2"/>
                <w:szCs w:val="18"/>
              </w:rPr>
            </w:pPr>
            <w:r>
              <w:rPr>
                <w:rFonts w:hint="default" w:ascii="Times New Roman" w:hAnsi="Times New Roman" w:cs="Times New Roman"/>
                <w:spacing w:val="-2"/>
                <w:szCs w:val="18"/>
              </w:rPr>
              <w:t>试验方法</w:t>
            </w:r>
          </w:p>
        </w:tc>
      </w:tr>
      <w:tr w14:paraId="4B312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69A03EC7">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马歇尔试件击实次数</w:t>
            </w:r>
          </w:p>
        </w:tc>
        <w:tc>
          <w:tcPr>
            <w:tcW w:w="772" w:type="pct"/>
            <w:shd w:val="clear" w:color="auto" w:fill="auto"/>
          </w:tcPr>
          <w:p w14:paraId="43954D42">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51C1A535">
            <w:pPr>
              <w:pStyle w:val="192"/>
              <w:rPr>
                <w:rFonts w:hint="default" w:ascii="Times New Roman" w:hAnsi="Times New Roman" w:cs="Times New Roman"/>
                <w:spacing w:val="-2"/>
                <w:szCs w:val="18"/>
              </w:rPr>
            </w:pPr>
            <w:r>
              <w:rPr>
                <w:rFonts w:hint="default" w:ascii="Times New Roman" w:hAnsi="Times New Roman" w:cs="Times New Roman"/>
                <w:spacing w:val="-2"/>
                <w:szCs w:val="18"/>
              </w:rPr>
              <w:t>双面击实75次</w:t>
            </w:r>
          </w:p>
        </w:tc>
        <w:tc>
          <w:tcPr>
            <w:tcW w:w="897" w:type="pct"/>
            <w:shd w:val="clear" w:color="auto" w:fill="auto"/>
          </w:tcPr>
          <w:p w14:paraId="0CEBBFFE">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T0702</w:t>
            </w:r>
          </w:p>
        </w:tc>
      </w:tr>
      <w:tr w14:paraId="4B812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4" w:type="pct"/>
            <w:vMerge w:val="restart"/>
            <w:shd w:val="clear" w:color="auto" w:fill="auto"/>
            <w:vAlign w:val="center"/>
          </w:tcPr>
          <w:p w14:paraId="38FE7608">
            <w:pPr>
              <w:pStyle w:val="192"/>
              <w:rPr>
                <w:rFonts w:hint="default" w:ascii="Times New Roman" w:hAnsi="Times New Roman" w:cs="Times New Roman"/>
                <w:spacing w:val="-2"/>
                <w:szCs w:val="18"/>
              </w:rPr>
            </w:pPr>
            <w:r>
              <w:rPr>
                <w:rFonts w:hint="default" w:ascii="Times New Roman" w:hAnsi="Times New Roman" w:cs="Times New Roman"/>
                <w:spacing w:val="-2"/>
                <w:szCs w:val="18"/>
              </w:rPr>
              <w:t>空隙率VV</w:t>
            </w:r>
          </w:p>
        </w:tc>
        <w:tc>
          <w:tcPr>
            <w:tcW w:w="1113" w:type="pct"/>
            <w:shd w:val="clear" w:color="auto" w:fill="auto"/>
          </w:tcPr>
          <w:p w14:paraId="1502F29E">
            <w:pPr>
              <w:pStyle w:val="192"/>
              <w:rPr>
                <w:rFonts w:hint="default" w:ascii="Times New Roman" w:hAnsi="Times New Roman" w:cs="Times New Roman"/>
                <w:spacing w:val="-2"/>
                <w:szCs w:val="18"/>
              </w:rPr>
            </w:pPr>
            <w:r>
              <w:rPr>
                <w:rFonts w:hint="default" w:ascii="Times New Roman" w:hAnsi="Times New Roman" w:cs="Times New Roman"/>
                <w:spacing w:val="-2"/>
                <w:szCs w:val="18"/>
              </w:rPr>
              <w:t>DTO-5</w:t>
            </w:r>
          </w:p>
        </w:tc>
        <w:tc>
          <w:tcPr>
            <w:tcW w:w="772" w:type="pct"/>
            <w:shd w:val="clear" w:color="auto" w:fill="auto"/>
          </w:tcPr>
          <w:p w14:paraId="2D22457B">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16D04E5C">
            <w:pPr>
              <w:pStyle w:val="192"/>
              <w:rPr>
                <w:rFonts w:hint="default" w:ascii="Times New Roman" w:hAnsi="Times New Roman" w:cs="Times New Roman"/>
                <w:spacing w:val="-2"/>
                <w:szCs w:val="18"/>
              </w:rPr>
            </w:pPr>
            <w:r>
              <w:rPr>
                <w:rFonts w:hint="default" w:ascii="Times New Roman" w:hAnsi="Times New Roman" w:cs="Times New Roman"/>
                <w:spacing w:val="-2"/>
                <w:szCs w:val="18"/>
              </w:rPr>
              <w:t>10~18</w:t>
            </w:r>
          </w:p>
        </w:tc>
        <w:tc>
          <w:tcPr>
            <w:tcW w:w="897" w:type="pct"/>
            <w:vMerge w:val="restart"/>
            <w:shd w:val="clear" w:color="auto" w:fill="auto"/>
            <w:vAlign w:val="center"/>
          </w:tcPr>
          <w:p w14:paraId="505AEE9F">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T0708</w:t>
            </w:r>
          </w:p>
        </w:tc>
      </w:tr>
      <w:tr w14:paraId="3E206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4" w:type="pct"/>
            <w:vMerge w:val="continue"/>
            <w:shd w:val="clear" w:color="auto" w:fill="auto"/>
          </w:tcPr>
          <w:p w14:paraId="3436FD02">
            <w:pPr>
              <w:pStyle w:val="192"/>
              <w:rPr>
                <w:rFonts w:hint="default" w:ascii="Times New Roman" w:hAnsi="Times New Roman" w:cs="Times New Roman"/>
                <w:spacing w:val="-2"/>
                <w:szCs w:val="18"/>
              </w:rPr>
            </w:pPr>
          </w:p>
        </w:tc>
        <w:tc>
          <w:tcPr>
            <w:tcW w:w="1113" w:type="pct"/>
            <w:shd w:val="clear" w:color="auto" w:fill="auto"/>
          </w:tcPr>
          <w:p w14:paraId="3C94F51E">
            <w:pPr>
              <w:pStyle w:val="192"/>
              <w:rPr>
                <w:rFonts w:hint="default" w:ascii="Times New Roman" w:hAnsi="Times New Roman" w:cs="Times New Roman"/>
                <w:spacing w:val="-2"/>
                <w:szCs w:val="18"/>
              </w:rPr>
            </w:pPr>
            <w:r>
              <w:rPr>
                <w:rFonts w:hint="default" w:ascii="Times New Roman" w:hAnsi="Times New Roman" w:cs="Times New Roman"/>
                <w:spacing w:val="-2"/>
                <w:szCs w:val="18"/>
              </w:rPr>
              <w:t>DTO-10</w:t>
            </w:r>
          </w:p>
        </w:tc>
        <w:tc>
          <w:tcPr>
            <w:tcW w:w="772" w:type="pct"/>
            <w:shd w:val="clear" w:color="auto" w:fill="auto"/>
          </w:tcPr>
          <w:p w14:paraId="398C4D00">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5672CF51">
            <w:pPr>
              <w:pStyle w:val="192"/>
              <w:rPr>
                <w:rFonts w:hint="default" w:ascii="Times New Roman" w:hAnsi="Times New Roman" w:cs="Times New Roman"/>
                <w:spacing w:val="-2"/>
                <w:szCs w:val="18"/>
              </w:rPr>
            </w:pPr>
            <w:r>
              <w:rPr>
                <w:rFonts w:hint="default" w:ascii="Times New Roman" w:hAnsi="Times New Roman" w:cs="Times New Roman"/>
                <w:spacing w:val="-2"/>
                <w:szCs w:val="18"/>
              </w:rPr>
              <w:t>8~16</w:t>
            </w:r>
          </w:p>
        </w:tc>
        <w:tc>
          <w:tcPr>
            <w:tcW w:w="897" w:type="pct"/>
            <w:vMerge w:val="continue"/>
            <w:shd w:val="clear" w:color="auto" w:fill="auto"/>
          </w:tcPr>
          <w:p w14:paraId="0D8839DC">
            <w:pPr>
              <w:pStyle w:val="192"/>
              <w:rPr>
                <w:rFonts w:hint="default" w:ascii="Times New Roman" w:hAnsi="Times New Roman" w:cs="Times New Roman"/>
                <w:spacing w:val="-2"/>
                <w:szCs w:val="18"/>
              </w:rPr>
            </w:pPr>
          </w:p>
        </w:tc>
      </w:tr>
      <w:tr w14:paraId="730B1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7B559844">
            <w:pPr>
              <w:pStyle w:val="192"/>
              <w:rPr>
                <w:rFonts w:hint="default" w:ascii="Times New Roman" w:hAnsi="Times New Roman" w:cs="Times New Roman"/>
                <w:spacing w:val="-2"/>
                <w:szCs w:val="18"/>
              </w:rPr>
            </w:pPr>
            <w:r>
              <w:rPr>
                <w:rFonts w:hint="default" w:ascii="Times New Roman" w:hAnsi="Times New Roman" w:cs="Times New Roman"/>
                <w:spacing w:val="-2"/>
                <w:szCs w:val="18"/>
              </w:rPr>
              <w:t>矿料间隙率VMA</w:t>
            </w:r>
          </w:p>
        </w:tc>
        <w:tc>
          <w:tcPr>
            <w:tcW w:w="772" w:type="pct"/>
            <w:shd w:val="clear" w:color="auto" w:fill="auto"/>
          </w:tcPr>
          <w:p w14:paraId="1DBF66E3">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52DAC172">
            <w:pPr>
              <w:pStyle w:val="192"/>
              <w:rPr>
                <w:rFonts w:hint="default" w:ascii="Times New Roman" w:hAnsi="Times New Roman" w:cs="Times New Roman"/>
                <w:spacing w:val="-2"/>
                <w:szCs w:val="18"/>
              </w:rPr>
            </w:pPr>
            <w:r>
              <w:rPr>
                <w:rFonts w:hint="default" w:ascii="Times New Roman" w:hAnsi="Times New Roman" w:cs="Times New Roman"/>
                <w:spacing w:val="-2"/>
                <w:szCs w:val="18"/>
              </w:rPr>
              <w:t>≥18</w:t>
            </w:r>
          </w:p>
        </w:tc>
        <w:tc>
          <w:tcPr>
            <w:tcW w:w="897" w:type="pct"/>
            <w:shd w:val="clear" w:color="auto" w:fill="auto"/>
          </w:tcPr>
          <w:p w14:paraId="2D3C07FC">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T0705</w:t>
            </w:r>
          </w:p>
        </w:tc>
      </w:tr>
      <w:tr w14:paraId="22CB4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0AD79525">
            <w:pPr>
              <w:pStyle w:val="192"/>
              <w:rPr>
                <w:rFonts w:hint="default" w:ascii="Times New Roman" w:hAnsi="Times New Roman" w:cs="Times New Roman"/>
                <w:spacing w:val="-2"/>
                <w:szCs w:val="18"/>
              </w:rPr>
            </w:pPr>
            <w:r>
              <w:rPr>
                <w:rFonts w:hint="default" w:ascii="Times New Roman" w:hAnsi="Times New Roman" w:cs="Times New Roman"/>
                <w:spacing w:val="-2"/>
                <w:szCs w:val="18"/>
              </w:rPr>
              <w:t>马歇尔稳定度</w:t>
            </w:r>
          </w:p>
        </w:tc>
        <w:tc>
          <w:tcPr>
            <w:tcW w:w="772" w:type="pct"/>
            <w:shd w:val="clear" w:color="auto" w:fill="auto"/>
          </w:tcPr>
          <w:p w14:paraId="0B816551">
            <w:pPr>
              <w:pStyle w:val="192"/>
              <w:rPr>
                <w:rFonts w:hint="default" w:ascii="Times New Roman" w:hAnsi="Times New Roman" w:cs="Times New Roman"/>
                <w:spacing w:val="-2"/>
                <w:szCs w:val="18"/>
              </w:rPr>
            </w:pPr>
            <w:r>
              <w:rPr>
                <w:rFonts w:hint="default" w:ascii="Times New Roman" w:hAnsi="Times New Roman" w:cs="Times New Roman"/>
                <w:spacing w:val="-2"/>
                <w:szCs w:val="18"/>
              </w:rPr>
              <w:t>kN</w:t>
            </w:r>
          </w:p>
        </w:tc>
        <w:tc>
          <w:tcPr>
            <w:tcW w:w="1113" w:type="pct"/>
            <w:shd w:val="clear" w:color="auto" w:fill="auto"/>
          </w:tcPr>
          <w:p w14:paraId="7E1882BA">
            <w:pPr>
              <w:pStyle w:val="192"/>
              <w:rPr>
                <w:rFonts w:hint="default" w:ascii="Times New Roman" w:hAnsi="Times New Roman" w:cs="Times New Roman"/>
                <w:spacing w:val="-2"/>
                <w:szCs w:val="18"/>
              </w:rPr>
            </w:pPr>
            <w:r>
              <w:rPr>
                <w:rFonts w:hint="default" w:ascii="Times New Roman" w:hAnsi="Times New Roman" w:cs="Times New Roman"/>
                <w:spacing w:val="-2"/>
                <w:szCs w:val="18"/>
              </w:rPr>
              <w:t>≥6</w:t>
            </w:r>
          </w:p>
        </w:tc>
        <w:tc>
          <w:tcPr>
            <w:tcW w:w="897" w:type="pct"/>
            <w:shd w:val="clear" w:color="auto" w:fill="auto"/>
          </w:tcPr>
          <w:p w14:paraId="0D5C2384">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T0709</w:t>
            </w:r>
          </w:p>
        </w:tc>
      </w:tr>
      <w:tr w14:paraId="43904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6AAA9CFD">
            <w:pPr>
              <w:pStyle w:val="192"/>
              <w:rPr>
                <w:rFonts w:hint="default" w:ascii="Times New Roman" w:hAnsi="Times New Roman" w:cs="Times New Roman"/>
                <w:spacing w:val="-2"/>
                <w:szCs w:val="18"/>
              </w:rPr>
            </w:pPr>
            <w:r>
              <w:rPr>
                <w:rFonts w:hint="default" w:ascii="Times New Roman" w:hAnsi="Times New Roman" w:cs="Times New Roman"/>
                <w:spacing w:val="-2"/>
                <w:szCs w:val="18"/>
              </w:rPr>
              <w:t>浸水马歇尔试验残留稳定度</w:t>
            </w:r>
          </w:p>
        </w:tc>
        <w:tc>
          <w:tcPr>
            <w:tcW w:w="772" w:type="pct"/>
            <w:shd w:val="clear" w:color="auto" w:fill="auto"/>
          </w:tcPr>
          <w:p w14:paraId="2E5590B8">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239DB185">
            <w:pPr>
              <w:pStyle w:val="192"/>
              <w:rPr>
                <w:rFonts w:hint="default" w:ascii="Times New Roman" w:hAnsi="Times New Roman" w:cs="Times New Roman"/>
                <w:spacing w:val="-2"/>
                <w:szCs w:val="18"/>
              </w:rPr>
            </w:pPr>
            <w:r>
              <w:rPr>
                <w:rFonts w:hint="default" w:ascii="Times New Roman" w:hAnsi="Times New Roman" w:cs="Times New Roman"/>
                <w:spacing w:val="-2"/>
                <w:szCs w:val="18"/>
              </w:rPr>
              <w:t>≥85</w:t>
            </w:r>
          </w:p>
        </w:tc>
        <w:tc>
          <w:tcPr>
            <w:tcW w:w="897" w:type="pct"/>
            <w:shd w:val="clear" w:color="auto" w:fill="auto"/>
          </w:tcPr>
          <w:p w14:paraId="73B00A83">
            <w:pPr>
              <w:pStyle w:val="192"/>
              <w:rPr>
                <w:rFonts w:hint="default" w:ascii="Times New Roman" w:hAnsi="Times New Roman" w:cs="Times New Roman"/>
                <w:spacing w:val="-2"/>
                <w:szCs w:val="18"/>
              </w:rPr>
            </w:pPr>
            <w:r>
              <w:rPr>
                <w:rFonts w:hint="default" w:ascii="Times New Roman" w:hAnsi="Times New Roman" w:cs="Times New Roman"/>
                <w:spacing w:val="-2"/>
                <w:szCs w:val="18"/>
              </w:rPr>
              <w:t>T0709</w:t>
            </w:r>
          </w:p>
        </w:tc>
      </w:tr>
      <w:tr w14:paraId="217B0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107CF4CF">
            <w:pPr>
              <w:pStyle w:val="192"/>
              <w:rPr>
                <w:rFonts w:hint="default" w:ascii="Times New Roman" w:hAnsi="Times New Roman" w:cs="Times New Roman"/>
                <w:spacing w:val="-2"/>
                <w:szCs w:val="18"/>
              </w:rPr>
            </w:pPr>
            <w:r>
              <w:rPr>
                <w:rFonts w:hint="default" w:ascii="Times New Roman" w:hAnsi="Times New Roman" w:cs="Times New Roman"/>
                <w:spacing w:val="-2"/>
                <w:szCs w:val="18"/>
              </w:rPr>
              <w:t>冻融劈裂试验残留强度比TSR</w:t>
            </w:r>
          </w:p>
        </w:tc>
        <w:tc>
          <w:tcPr>
            <w:tcW w:w="772" w:type="pct"/>
            <w:shd w:val="clear" w:color="auto" w:fill="auto"/>
          </w:tcPr>
          <w:p w14:paraId="24C86897">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376135F5">
            <w:pPr>
              <w:pStyle w:val="192"/>
              <w:rPr>
                <w:rFonts w:hint="default" w:ascii="Times New Roman" w:hAnsi="Times New Roman" w:cs="Times New Roman"/>
                <w:spacing w:val="-2"/>
                <w:szCs w:val="18"/>
              </w:rPr>
            </w:pPr>
            <w:r>
              <w:rPr>
                <w:rFonts w:hint="default" w:ascii="Times New Roman" w:hAnsi="Times New Roman" w:cs="Times New Roman"/>
                <w:spacing w:val="-2"/>
                <w:szCs w:val="18"/>
              </w:rPr>
              <w:t>≥80</w:t>
            </w:r>
          </w:p>
        </w:tc>
        <w:tc>
          <w:tcPr>
            <w:tcW w:w="897" w:type="pct"/>
            <w:shd w:val="clear" w:color="auto" w:fill="auto"/>
          </w:tcPr>
          <w:p w14:paraId="275FCE53">
            <w:pPr>
              <w:pStyle w:val="192"/>
              <w:rPr>
                <w:rFonts w:hint="default" w:ascii="Times New Roman" w:hAnsi="Times New Roman" w:cs="Times New Roman"/>
                <w:spacing w:val="-2"/>
                <w:szCs w:val="18"/>
              </w:rPr>
            </w:pPr>
            <w:r>
              <w:rPr>
                <w:rFonts w:hint="default" w:ascii="Times New Roman" w:hAnsi="Times New Roman" w:cs="Times New Roman"/>
                <w:spacing w:val="-2"/>
                <w:szCs w:val="18"/>
              </w:rPr>
              <w:t>T0729</w:t>
            </w:r>
          </w:p>
        </w:tc>
      </w:tr>
      <w:tr w14:paraId="6B16B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 w:hRule="atLeast"/>
        </w:trPr>
        <w:tc>
          <w:tcPr>
            <w:tcW w:w="2218" w:type="pct"/>
            <w:gridSpan w:val="2"/>
            <w:shd w:val="clear" w:color="auto" w:fill="auto"/>
          </w:tcPr>
          <w:p w14:paraId="0737569C">
            <w:pPr>
              <w:pStyle w:val="192"/>
              <w:rPr>
                <w:rFonts w:hint="default" w:ascii="Times New Roman" w:hAnsi="Times New Roman" w:cs="Times New Roman"/>
                <w:spacing w:val="-2"/>
                <w:szCs w:val="18"/>
              </w:rPr>
            </w:pPr>
            <w:r>
              <w:rPr>
                <w:rFonts w:hint="default" w:ascii="Times New Roman" w:hAnsi="Times New Roman" w:cs="Times New Roman"/>
                <w:spacing w:val="-2"/>
                <w:szCs w:val="18"/>
              </w:rPr>
              <w:t>车辙试验动稳定度</w:t>
            </w:r>
          </w:p>
        </w:tc>
        <w:tc>
          <w:tcPr>
            <w:tcW w:w="772" w:type="pct"/>
            <w:shd w:val="clear" w:color="auto" w:fill="auto"/>
          </w:tcPr>
          <w:p w14:paraId="71025B49">
            <w:pPr>
              <w:pStyle w:val="192"/>
              <w:rPr>
                <w:rFonts w:hint="default" w:ascii="Times New Roman" w:hAnsi="Times New Roman" w:cs="Times New Roman"/>
                <w:spacing w:val="-2"/>
                <w:szCs w:val="18"/>
              </w:rPr>
            </w:pPr>
            <w:r>
              <w:rPr>
                <w:rFonts w:hint="default" w:ascii="Times New Roman" w:hAnsi="Times New Roman" w:cs="Times New Roman"/>
                <w:spacing w:val="-2"/>
                <w:szCs w:val="18"/>
              </w:rPr>
              <w:t>次/mm</w:t>
            </w:r>
          </w:p>
        </w:tc>
        <w:tc>
          <w:tcPr>
            <w:tcW w:w="1113" w:type="pct"/>
            <w:shd w:val="clear" w:color="auto" w:fill="auto"/>
          </w:tcPr>
          <w:p w14:paraId="0274FDB4">
            <w:pPr>
              <w:pStyle w:val="192"/>
              <w:rPr>
                <w:rFonts w:hint="default" w:ascii="Times New Roman" w:hAnsi="Times New Roman" w:cs="Times New Roman"/>
                <w:spacing w:val="-2"/>
                <w:szCs w:val="18"/>
              </w:rPr>
            </w:pPr>
            <w:r>
              <w:rPr>
                <w:rFonts w:hint="default" w:ascii="Times New Roman" w:hAnsi="Times New Roman" w:cs="Times New Roman"/>
                <w:spacing w:val="-2"/>
                <w:szCs w:val="18"/>
              </w:rPr>
              <w:t>≥2500</w:t>
            </w:r>
          </w:p>
        </w:tc>
        <w:tc>
          <w:tcPr>
            <w:tcW w:w="897" w:type="pct"/>
            <w:shd w:val="clear" w:color="auto" w:fill="auto"/>
          </w:tcPr>
          <w:p w14:paraId="5D35915F">
            <w:pPr>
              <w:pStyle w:val="192"/>
              <w:rPr>
                <w:rFonts w:hint="default" w:ascii="Times New Roman" w:hAnsi="Times New Roman" w:cs="Times New Roman"/>
                <w:spacing w:val="-2"/>
                <w:szCs w:val="18"/>
              </w:rPr>
            </w:pPr>
            <w:r>
              <w:rPr>
                <w:rFonts w:hint="default" w:ascii="Times New Roman" w:hAnsi="Times New Roman" w:cs="Times New Roman"/>
                <w:spacing w:val="-2"/>
                <w:szCs w:val="18"/>
              </w:rPr>
              <w:t>T0719</w:t>
            </w:r>
          </w:p>
        </w:tc>
      </w:tr>
      <w:tr w14:paraId="2E2E4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62AD63BD">
            <w:pPr>
              <w:pStyle w:val="192"/>
              <w:rPr>
                <w:rFonts w:hint="default" w:ascii="Times New Roman" w:hAnsi="Times New Roman" w:cs="Times New Roman"/>
                <w:spacing w:val="-2"/>
                <w:szCs w:val="18"/>
              </w:rPr>
            </w:pPr>
            <w:r>
              <w:rPr>
                <w:rFonts w:hint="default" w:ascii="Times New Roman" w:hAnsi="Times New Roman" w:cs="Times New Roman"/>
                <w:spacing w:val="-2"/>
                <w:szCs w:val="18"/>
              </w:rPr>
              <w:t>谢伦堡沥青析漏损失率</w:t>
            </w:r>
          </w:p>
        </w:tc>
        <w:tc>
          <w:tcPr>
            <w:tcW w:w="772" w:type="pct"/>
            <w:shd w:val="clear" w:color="auto" w:fill="auto"/>
          </w:tcPr>
          <w:p w14:paraId="30D84511">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73DE7D3B">
            <w:pPr>
              <w:pStyle w:val="192"/>
              <w:rPr>
                <w:rFonts w:hint="default" w:ascii="Times New Roman" w:hAnsi="Times New Roman" w:cs="Times New Roman"/>
                <w:spacing w:val="-2"/>
                <w:szCs w:val="18"/>
              </w:rPr>
            </w:pPr>
            <w:r>
              <w:rPr>
                <w:rFonts w:hint="default" w:ascii="Times New Roman" w:hAnsi="Times New Roman" w:cs="Times New Roman"/>
                <w:spacing w:val="-2"/>
                <w:szCs w:val="18"/>
              </w:rPr>
              <w:t>＜0.3</w:t>
            </w:r>
          </w:p>
        </w:tc>
        <w:tc>
          <w:tcPr>
            <w:tcW w:w="897" w:type="pct"/>
            <w:shd w:val="clear" w:color="auto" w:fill="auto"/>
          </w:tcPr>
          <w:p w14:paraId="39773B64">
            <w:pPr>
              <w:pStyle w:val="192"/>
              <w:rPr>
                <w:rFonts w:hint="default" w:ascii="Times New Roman" w:hAnsi="Times New Roman" w:cs="Times New Roman"/>
                <w:spacing w:val="-2"/>
                <w:szCs w:val="18"/>
              </w:rPr>
            </w:pPr>
            <w:r>
              <w:rPr>
                <w:rFonts w:hint="default" w:ascii="Times New Roman" w:hAnsi="Times New Roman" w:cs="Times New Roman"/>
                <w:spacing w:val="-2"/>
                <w:szCs w:val="18"/>
              </w:rPr>
              <w:t>T0732</w:t>
            </w:r>
          </w:p>
        </w:tc>
      </w:tr>
      <w:tr w14:paraId="46658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408D8F61">
            <w:pPr>
              <w:pStyle w:val="192"/>
              <w:rPr>
                <w:rFonts w:hint="default" w:ascii="Times New Roman" w:hAnsi="Times New Roman" w:cs="Times New Roman"/>
                <w:spacing w:val="-2"/>
                <w:szCs w:val="18"/>
              </w:rPr>
            </w:pPr>
            <w:r>
              <w:rPr>
                <w:rFonts w:hint="default" w:ascii="Times New Roman" w:hAnsi="Times New Roman" w:cs="Times New Roman"/>
                <w:spacing w:val="-2"/>
                <w:szCs w:val="18"/>
              </w:rPr>
              <w:t>肯塔堡飞散损失率</w:t>
            </w:r>
          </w:p>
        </w:tc>
        <w:tc>
          <w:tcPr>
            <w:tcW w:w="772" w:type="pct"/>
            <w:shd w:val="clear" w:color="auto" w:fill="auto"/>
          </w:tcPr>
          <w:p w14:paraId="11C2527C">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c>
          <w:tcPr>
            <w:tcW w:w="1113" w:type="pct"/>
            <w:shd w:val="clear" w:color="auto" w:fill="auto"/>
          </w:tcPr>
          <w:p w14:paraId="66E31525">
            <w:pPr>
              <w:pStyle w:val="192"/>
              <w:rPr>
                <w:rFonts w:hint="default" w:ascii="Times New Roman" w:hAnsi="Times New Roman" w:cs="Times New Roman"/>
                <w:spacing w:val="-2"/>
                <w:szCs w:val="18"/>
              </w:rPr>
            </w:pPr>
            <w:r>
              <w:rPr>
                <w:rFonts w:hint="default" w:ascii="Times New Roman" w:hAnsi="Times New Roman" w:cs="Times New Roman"/>
                <w:spacing w:val="-2"/>
                <w:szCs w:val="18"/>
              </w:rPr>
              <w:t>＜10</w:t>
            </w:r>
          </w:p>
        </w:tc>
        <w:tc>
          <w:tcPr>
            <w:tcW w:w="897" w:type="pct"/>
            <w:shd w:val="clear" w:color="auto" w:fill="auto"/>
          </w:tcPr>
          <w:p w14:paraId="30AF0BD4">
            <w:pPr>
              <w:pStyle w:val="192"/>
              <w:rPr>
                <w:rFonts w:hint="default" w:ascii="Times New Roman" w:hAnsi="Times New Roman" w:cs="Times New Roman"/>
                <w:spacing w:val="-2"/>
                <w:szCs w:val="18"/>
              </w:rPr>
            </w:pPr>
            <w:r>
              <w:rPr>
                <w:rFonts w:hint="default" w:ascii="Times New Roman" w:hAnsi="Times New Roman" w:cs="Times New Roman"/>
                <w:spacing w:val="-2"/>
                <w:szCs w:val="18"/>
              </w:rPr>
              <w:t>T0733</w:t>
            </w:r>
          </w:p>
        </w:tc>
      </w:tr>
      <w:tr w14:paraId="596CB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218" w:type="pct"/>
            <w:gridSpan w:val="2"/>
            <w:shd w:val="clear" w:color="auto" w:fill="auto"/>
          </w:tcPr>
          <w:p w14:paraId="3EF63F51">
            <w:pPr>
              <w:pStyle w:val="192"/>
              <w:rPr>
                <w:rFonts w:hint="default" w:ascii="Times New Roman" w:hAnsi="Times New Roman" w:cs="Times New Roman"/>
                <w:spacing w:val="-2"/>
                <w:szCs w:val="18"/>
              </w:rPr>
            </w:pPr>
            <w:r>
              <w:rPr>
                <w:rFonts w:hint="default" w:ascii="Times New Roman" w:hAnsi="Times New Roman" w:cs="Times New Roman"/>
                <w:spacing w:val="-2"/>
                <w:szCs w:val="18"/>
              </w:rPr>
              <w:t>油膜厚度</w:t>
            </w:r>
          </w:p>
        </w:tc>
        <w:tc>
          <w:tcPr>
            <w:tcW w:w="772" w:type="pct"/>
            <w:shd w:val="clear" w:color="auto" w:fill="auto"/>
          </w:tcPr>
          <w:p w14:paraId="07E7CA04">
            <w:pPr>
              <w:pStyle w:val="192"/>
              <w:rPr>
                <w:rFonts w:hint="default" w:ascii="Times New Roman" w:hAnsi="Times New Roman" w:cs="Times New Roman"/>
                <w:spacing w:val="-2"/>
                <w:szCs w:val="18"/>
              </w:rPr>
            </w:pPr>
            <w:r>
              <w:rPr>
                <w:rFonts w:hint="default" w:ascii="Times New Roman" w:hAnsi="Times New Roman" w:cs="Times New Roman"/>
                <w:spacing w:val="-2"/>
                <w:szCs w:val="18"/>
              </w:rPr>
              <w:t>μm</w:t>
            </w:r>
          </w:p>
        </w:tc>
        <w:tc>
          <w:tcPr>
            <w:tcW w:w="1113" w:type="pct"/>
            <w:shd w:val="clear" w:color="auto" w:fill="auto"/>
          </w:tcPr>
          <w:p w14:paraId="623DA8C8">
            <w:pPr>
              <w:pStyle w:val="192"/>
              <w:rPr>
                <w:rFonts w:hint="default" w:ascii="Times New Roman" w:hAnsi="Times New Roman" w:cs="Times New Roman"/>
                <w:spacing w:val="-2"/>
                <w:szCs w:val="18"/>
              </w:rPr>
            </w:pPr>
            <w:r>
              <w:rPr>
                <w:rFonts w:hint="default" w:ascii="Times New Roman" w:hAnsi="Times New Roman" w:cs="Times New Roman"/>
                <w:spacing w:val="-2"/>
                <w:szCs w:val="18"/>
              </w:rPr>
              <w:t>≥10</w:t>
            </w:r>
          </w:p>
        </w:tc>
        <w:tc>
          <w:tcPr>
            <w:tcW w:w="897" w:type="pct"/>
            <w:shd w:val="clear" w:color="auto" w:fill="auto"/>
          </w:tcPr>
          <w:p w14:paraId="7280FCBC">
            <w:pPr>
              <w:pStyle w:val="192"/>
              <w:rPr>
                <w:rFonts w:hint="default" w:ascii="Times New Roman" w:hAnsi="Times New Roman" w:cs="Times New Roman"/>
                <w:spacing w:val="-2"/>
                <w:szCs w:val="18"/>
              </w:rPr>
            </w:pPr>
            <w:r>
              <w:rPr>
                <w:rFonts w:hint="default" w:ascii="Times New Roman" w:hAnsi="Times New Roman" w:cs="Times New Roman"/>
                <w:spacing w:val="-2"/>
                <w:szCs w:val="18"/>
              </w:rPr>
              <w:t>—</w:t>
            </w:r>
          </w:p>
        </w:tc>
      </w:tr>
      <w:bookmarkEnd w:id="50"/>
    </w:tbl>
    <w:p w14:paraId="39C3E5B3">
      <w:pPr>
        <w:pStyle w:val="52"/>
        <w:spacing w:beforeLines="0" w:afterLines="0" w:line="360" w:lineRule="auto"/>
        <w:ind w:left="425"/>
        <w:outlineLvl w:val="9"/>
        <w:rPr>
          <w:rFonts w:hint="default" w:ascii="Times New Roman" w:hAnsi="Times New Roman" w:cs="Times New Roman" w:eastAsiaTheme="minorEastAsia"/>
          <w:b/>
          <w:bCs/>
          <w:sz w:val="32"/>
          <w:szCs w:val="22"/>
        </w:rPr>
        <w:sectPr>
          <w:footerReference r:id="rId11" w:type="first"/>
          <w:footerReference r:id="rId10" w:type="default"/>
          <w:headerReference r:id="rId9" w:type="even"/>
          <w:pgSz w:w="11906" w:h="16838"/>
          <w:pgMar w:top="1440" w:right="1800" w:bottom="1440" w:left="1800" w:header="850" w:footer="992" w:gutter="0"/>
          <w:cols w:space="425" w:num="1"/>
          <w:formProt w:val="0"/>
          <w:docGrid w:type="lines" w:linePitch="312" w:charSpace="0"/>
        </w:sectPr>
      </w:pPr>
      <w:bookmarkStart w:id="52" w:name="_Toc179636664"/>
      <w:bookmarkStart w:id="53" w:name="_Toc126742843"/>
    </w:p>
    <w:p w14:paraId="04C6E5E3">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54" w:name="_Toc31755"/>
      <w:r>
        <w:rPr>
          <w:rFonts w:hint="default" w:ascii="Times New Roman" w:hAnsi="Times New Roman" w:cs="Times New Roman" w:eastAsiaTheme="minorEastAsia"/>
          <w:b/>
          <w:bCs/>
          <w:sz w:val="32"/>
          <w:szCs w:val="22"/>
        </w:rPr>
        <w:t>施工</w:t>
      </w:r>
      <w:bookmarkEnd w:id="52"/>
      <w:bookmarkEnd w:id="53"/>
      <w:bookmarkEnd w:id="54"/>
      <w:bookmarkStart w:id="55" w:name="DW"/>
      <w:bookmarkEnd w:id="55"/>
    </w:p>
    <w:p w14:paraId="2D5F416A">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56" w:name="_Toc28042"/>
      <w:bookmarkStart w:id="57" w:name="_Toc179636665"/>
      <w:bookmarkStart w:id="58" w:name="_Toc126742844"/>
      <w:r>
        <w:rPr>
          <w:rFonts w:hint="default" w:ascii="Times New Roman" w:hAnsi="Times New Roman" w:cs="Times New Roman"/>
          <w:sz w:val="24"/>
        </w:rPr>
        <w:t>一般规定</w:t>
      </w:r>
      <w:bookmarkEnd w:id="56"/>
      <w:bookmarkEnd w:id="57"/>
      <w:bookmarkEnd w:id="58"/>
    </w:p>
    <w:p w14:paraId="12B4E590">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高延弹超薄罩面施工前，应按设计要求完成对原路面病害、标线等的处理。</w:t>
      </w:r>
    </w:p>
    <w:p w14:paraId="6A9BFAFA">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高延弹超薄罩面应采用同步施工工艺，保证黏层与超薄罩面层用同一台施工设备同步喷洒和摊铺。</w:t>
      </w:r>
    </w:p>
    <w:p w14:paraId="794827FA">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同步摊铺设备的关键装置及性能应符合表7.1.3的要求。</w:t>
      </w:r>
    </w:p>
    <w:p w14:paraId="017C587A">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表7.1.3 同步摊铺设备关键装置</w:t>
      </w:r>
    </w:p>
    <w:tbl>
      <w:tblPr>
        <w:tblStyle w:val="40"/>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26"/>
        <w:gridCol w:w="1164"/>
        <w:gridCol w:w="1600"/>
        <w:gridCol w:w="3641"/>
        <w:gridCol w:w="1391"/>
      </w:tblGrid>
      <w:tr w14:paraId="36BE5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426" w:type="pct"/>
            <w:tcBorders>
              <w:top w:val="single" w:color="000000" w:sz="12" w:space="0"/>
              <w:bottom w:val="single" w:color="000000" w:sz="12" w:space="0"/>
            </w:tcBorders>
            <w:vAlign w:val="center"/>
          </w:tcPr>
          <w:p w14:paraId="3458FE81">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683" w:type="pct"/>
            <w:tcBorders>
              <w:top w:val="single" w:color="000000" w:sz="12" w:space="0"/>
              <w:bottom w:val="single" w:color="000000" w:sz="12" w:space="0"/>
            </w:tcBorders>
            <w:vAlign w:val="center"/>
          </w:tcPr>
          <w:p w14:paraId="55287048">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关键装置</w:t>
            </w:r>
          </w:p>
        </w:tc>
        <w:tc>
          <w:tcPr>
            <w:tcW w:w="939" w:type="pct"/>
            <w:tcBorders>
              <w:top w:val="single" w:color="000000" w:sz="12" w:space="0"/>
              <w:bottom w:val="single" w:color="000000" w:sz="12" w:space="0"/>
            </w:tcBorders>
          </w:tcPr>
          <w:p w14:paraId="0B6856B2">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主要装置</w:t>
            </w:r>
          </w:p>
        </w:tc>
        <w:tc>
          <w:tcPr>
            <w:tcW w:w="2136" w:type="pct"/>
            <w:tcBorders>
              <w:top w:val="single" w:color="000000" w:sz="12" w:space="0"/>
              <w:bottom w:val="single" w:color="000000" w:sz="12" w:space="0"/>
            </w:tcBorders>
          </w:tcPr>
          <w:p w14:paraId="3CD2AAA7">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技术要求</w:t>
            </w:r>
          </w:p>
        </w:tc>
        <w:tc>
          <w:tcPr>
            <w:tcW w:w="817" w:type="pct"/>
            <w:tcBorders>
              <w:top w:val="single" w:color="000000" w:sz="12" w:space="0"/>
              <w:bottom w:val="single" w:color="000000" w:sz="12" w:space="0"/>
            </w:tcBorders>
            <w:vAlign w:val="center"/>
          </w:tcPr>
          <w:p w14:paraId="78E9A726">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备注</w:t>
            </w:r>
          </w:p>
        </w:tc>
      </w:tr>
      <w:tr w14:paraId="1F0C8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426" w:type="pct"/>
            <w:tcBorders>
              <w:top w:val="single" w:color="000000" w:sz="12" w:space="0"/>
            </w:tcBorders>
            <w:vAlign w:val="center"/>
          </w:tcPr>
          <w:p w14:paraId="404AC42A">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683" w:type="pct"/>
            <w:tcBorders>
              <w:top w:val="single" w:color="000000" w:sz="12" w:space="0"/>
            </w:tcBorders>
            <w:vAlign w:val="center"/>
          </w:tcPr>
          <w:p w14:paraId="0F5464B7">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乳化沥青喷洒装置</w:t>
            </w:r>
          </w:p>
        </w:tc>
        <w:tc>
          <w:tcPr>
            <w:tcW w:w="939" w:type="pct"/>
            <w:tcBorders>
              <w:top w:val="single" w:color="000000" w:sz="12" w:space="0"/>
            </w:tcBorders>
          </w:tcPr>
          <w:p w14:paraId="33A871B6">
            <w:pPr>
              <w:pStyle w:val="186"/>
              <w:ind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乳化沥青罐、沥青罐加热装置、乳化沥青抽吸泵、管路自动压力清洗装置、喷洒杆和控制装置</w:t>
            </w:r>
          </w:p>
        </w:tc>
        <w:tc>
          <w:tcPr>
            <w:tcW w:w="2136" w:type="pct"/>
            <w:tcBorders>
              <w:top w:val="single" w:color="000000" w:sz="12" w:space="0"/>
            </w:tcBorders>
          </w:tcPr>
          <w:p w14:paraId="50F51B11">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不少于5根喷洒杆；</w:t>
            </w:r>
          </w:p>
          <w:p w14:paraId="1186267F">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喷嘴和喷洒管路能够自动压力清洗并单独控制；</w:t>
            </w:r>
          </w:p>
          <w:p w14:paraId="1F1304E5">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能够精确控制喷洒的开始和结束位置；</w:t>
            </w:r>
          </w:p>
          <w:p w14:paraId="274A46F3">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乳化沥青罐自带加热保温装置；</w:t>
            </w:r>
          </w:p>
          <w:p w14:paraId="51E5FC59">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喷洒为脉冲式非连续式；</w:t>
            </w:r>
          </w:p>
          <w:p w14:paraId="601F138E">
            <w:pPr>
              <w:pStyle w:val="186"/>
              <w:numPr>
                <w:ilvl w:val="0"/>
                <w:numId w:val="22"/>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喷洒量范围为0.3~1.6Lm</w:t>
            </w:r>
            <w:r>
              <w:rPr>
                <w:rFonts w:hint="default" w:ascii="Times New Roman" w:hAnsi="Times New Roman" w:eastAsia="宋体" w:cs="Times New Roman"/>
                <w:szCs w:val="21"/>
                <w:vertAlign w:val="superscript"/>
              </w:rPr>
              <w:t>2</w:t>
            </w:r>
            <w:r>
              <w:rPr>
                <w:rFonts w:hint="default" w:ascii="Times New Roman" w:hAnsi="Times New Roman" w:eastAsia="宋体" w:cs="Times New Roman"/>
                <w:szCs w:val="21"/>
              </w:rPr>
              <w:t>。</w:t>
            </w:r>
          </w:p>
        </w:tc>
        <w:tc>
          <w:tcPr>
            <w:tcW w:w="817" w:type="pct"/>
            <w:tcBorders>
              <w:top w:val="single" w:color="000000" w:sz="12" w:space="0"/>
            </w:tcBorders>
            <w:vAlign w:val="center"/>
          </w:tcPr>
          <w:p w14:paraId="233E1085">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实现乳化沥青准确计量和均匀洒布</w:t>
            </w:r>
          </w:p>
        </w:tc>
      </w:tr>
      <w:tr w14:paraId="2703DF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426" w:type="pct"/>
            <w:vAlign w:val="center"/>
          </w:tcPr>
          <w:p w14:paraId="3DC94FA6">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683" w:type="pct"/>
            <w:vAlign w:val="center"/>
          </w:tcPr>
          <w:p w14:paraId="6F0163A0">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摊铺装置</w:t>
            </w:r>
          </w:p>
        </w:tc>
        <w:tc>
          <w:tcPr>
            <w:tcW w:w="939" w:type="pct"/>
          </w:tcPr>
          <w:p w14:paraId="2357E68A">
            <w:pPr>
              <w:pStyle w:val="186"/>
              <w:ind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伸缩熨平板</w:t>
            </w:r>
          </w:p>
        </w:tc>
        <w:tc>
          <w:tcPr>
            <w:tcW w:w="2136" w:type="pct"/>
          </w:tcPr>
          <w:p w14:paraId="5E64FC3A">
            <w:pPr>
              <w:pStyle w:val="186"/>
              <w:numPr>
                <w:ilvl w:val="0"/>
                <w:numId w:val="23"/>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基本宽度为2.5m及2.5m以上，可液压伸缩至5m及5m以上；</w:t>
            </w:r>
          </w:p>
          <w:p w14:paraId="2271218C">
            <w:pPr>
              <w:pStyle w:val="186"/>
              <w:numPr>
                <w:ilvl w:val="0"/>
                <w:numId w:val="23"/>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熨平板为电加热；</w:t>
            </w:r>
          </w:p>
          <w:p w14:paraId="1120F9F9">
            <w:pPr>
              <w:pStyle w:val="186"/>
              <w:numPr>
                <w:ilvl w:val="0"/>
                <w:numId w:val="23"/>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熨平板装备夯锤；</w:t>
            </w:r>
          </w:p>
          <w:p w14:paraId="7E3407E2">
            <w:pPr>
              <w:pStyle w:val="186"/>
              <w:numPr>
                <w:ilvl w:val="0"/>
                <w:numId w:val="23"/>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熨平板装备振动器</w:t>
            </w:r>
          </w:p>
        </w:tc>
        <w:tc>
          <w:tcPr>
            <w:tcW w:w="817" w:type="pct"/>
            <w:vAlign w:val="center"/>
          </w:tcPr>
          <w:p w14:paraId="2D1F5B72">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对沥青混合料进行输送和整平、整形和预压实</w:t>
            </w:r>
          </w:p>
        </w:tc>
      </w:tr>
      <w:tr w14:paraId="1BDB4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426" w:type="pct"/>
            <w:vAlign w:val="center"/>
          </w:tcPr>
          <w:p w14:paraId="5A920B15">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3</w:t>
            </w:r>
          </w:p>
        </w:tc>
        <w:tc>
          <w:tcPr>
            <w:tcW w:w="683" w:type="pct"/>
            <w:vAlign w:val="center"/>
          </w:tcPr>
          <w:p w14:paraId="2FC01865">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料斗及输料装置</w:t>
            </w:r>
          </w:p>
        </w:tc>
        <w:tc>
          <w:tcPr>
            <w:tcW w:w="939" w:type="pct"/>
          </w:tcPr>
          <w:p w14:paraId="7774A684">
            <w:pPr>
              <w:pStyle w:val="186"/>
              <w:ind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大型料斗、搅龙及输料器</w:t>
            </w:r>
          </w:p>
        </w:tc>
        <w:tc>
          <w:tcPr>
            <w:tcW w:w="2136" w:type="pct"/>
          </w:tcPr>
          <w:p w14:paraId="32CEF30D">
            <w:pPr>
              <w:pStyle w:val="186"/>
              <w:numPr>
                <w:ilvl w:val="0"/>
                <w:numId w:val="24"/>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料斗容量大于或等于13t；</w:t>
            </w:r>
          </w:p>
          <w:p w14:paraId="31376905">
            <w:pPr>
              <w:pStyle w:val="186"/>
              <w:numPr>
                <w:ilvl w:val="0"/>
                <w:numId w:val="24"/>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无级变速、液压驱动的输料器；</w:t>
            </w:r>
          </w:p>
          <w:p w14:paraId="0ADC58BE">
            <w:pPr>
              <w:pStyle w:val="186"/>
              <w:numPr>
                <w:ilvl w:val="0"/>
                <w:numId w:val="24"/>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无级变速、液压驱动的搅龙；</w:t>
            </w:r>
          </w:p>
          <w:p w14:paraId="51250F43">
            <w:pPr>
              <w:pStyle w:val="186"/>
              <w:numPr>
                <w:ilvl w:val="0"/>
                <w:numId w:val="24"/>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搅龙高度可液压调节，可反向运行</w:t>
            </w:r>
          </w:p>
        </w:tc>
        <w:tc>
          <w:tcPr>
            <w:tcW w:w="817" w:type="pct"/>
            <w:vAlign w:val="center"/>
          </w:tcPr>
          <w:p w14:paraId="15C75A2E">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实现混合料的接收、输送及布置</w:t>
            </w:r>
          </w:p>
        </w:tc>
      </w:tr>
      <w:tr w14:paraId="56AA4A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426" w:type="pct"/>
            <w:vAlign w:val="center"/>
          </w:tcPr>
          <w:p w14:paraId="4707819E">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683" w:type="pct"/>
            <w:vAlign w:val="center"/>
          </w:tcPr>
          <w:p w14:paraId="0604679D">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行走装置</w:t>
            </w:r>
          </w:p>
        </w:tc>
        <w:tc>
          <w:tcPr>
            <w:tcW w:w="939" w:type="pct"/>
          </w:tcPr>
          <w:p w14:paraId="7207A402">
            <w:pPr>
              <w:pStyle w:val="186"/>
              <w:ind w:firstLine="0" w:firstLineChars="0"/>
              <w:rPr>
                <w:rFonts w:hint="default" w:ascii="Times New Roman" w:hAnsi="Times New Roman" w:eastAsia="宋体" w:cs="Times New Roman"/>
                <w:szCs w:val="21"/>
              </w:rPr>
            </w:pPr>
            <w:r>
              <w:rPr>
                <w:rFonts w:hint="default" w:ascii="Times New Roman" w:hAnsi="Times New Roman" w:eastAsia="宋体" w:cs="Times New Roman"/>
                <w:szCs w:val="21"/>
              </w:rPr>
              <w:t>履带、行走驱动</w:t>
            </w:r>
          </w:p>
        </w:tc>
        <w:tc>
          <w:tcPr>
            <w:tcW w:w="2136" w:type="pct"/>
          </w:tcPr>
          <w:p w14:paraId="4D7156E1">
            <w:pPr>
              <w:pStyle w:val="186"/>
              <w:numPr>
                <w:ilvl w:val="0"/>
                <w:numId w:val="25"/>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摊铺及行走速度为无级变速；</w:t>
            </w:r>
          </w:p>
          <w:p w14:paraId="010DEFF9">
            <w:pPr>
              <w:pStyle w:val="186"/>
              <w:numPr>
                <w:ilvl w:val="0"/>
                <w:numId w:val="25"/>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行走液压独立驱动；</w:t>
            </w:r>
          </w:p>
          <w:p w14:paraId="2A2BE6DA">
            <w:pPr>
              <w:pStyle w:val="186"/>
              <w:numPr>
                <w:ilvl w:val="0"/>
                <w:numId w:val="25"/>
              </w:numPr>
              <w:ind w:firstLineChars="0"/>
              <w:rPr>
                <w:rFonts w:hint="default" w:ascii="Times New Roman" w:hAnsi="Times New Roman" w:eastAsia="宋体" w:cs="Times New Roman"/>
                <w:szCs w:val="21"/>
              </w:rPr>
            </w:pPr>
            <w:r>
              <w:rPr>
                <w:rFonts w:hint="default" w:ascii="Times New Roman" w:hAnsi="Times New Roman" w:eastAsia="宋体" w:cs="Times New Roman"/>
                <w:szCs w:val="21"/>
              </w:rPr>
              <w:t>匀速平稳行驶</w:t>
            </w:r>
          </w:p>
        </w:tc>
        <w:tc>
          <w:tcPr>
            <w:tcW w:w="817" w:type="pct"/>
            <w:vAlign w:val="center"/>
          </w:tcPr>
          <w:p w14:paraId="7143F210">
            <w:pPr>
              <w:pStyle w:val="186"/>
              <w:ind w:firstLine="0" w:firstLineChars="0"/>
              <w:jc w:val="center"/>
              <w:rPr>
                <w:rFonts w:hint="default" w:ascii="Times New Roman" w:hAnsi="Times New Roman" w:eastAsia="宋体" w:cs="Times New Roman"/>
                <w:szCs w:val="21"/>
              </w:rPr>
            </w:pPr>
            <w:r>
              <w:rPr>
                <w:rFonts w:hint="default" w:ascii="Times New Roman" w:hAnsi="Times New Roman" w:eastAsia="宋体" w:cs="Times New Roman"/>
                <w:szCs w:val="21"/>
              </w:rPr>
              <w:t>实现摊铺机的匀速平稳行驶</w:t>
            </w:r>
          </w:p>
        </w:tc>
      </w:tr>
    </w:tbl>
    <w:p w14:paraId="17EDAC38">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施工前应对各类施工设备和机具进行调试，对机械设备的配置情况、技术性能、关键部件等进行检查及标定，以确保保持良好的工作状态。</w:t>
      </w:r>
    </w:p>
    <w:p w14:paraId="6DBA8A7A">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同步摊铺机出现下列情况时，应进行标定：</w:t>
      </w:r>
    </w:p>
    <w:p w14:paraId="69673164">
      <w:pPr>
        <w:pStyle w:val="186"/>
        <w:numPr>
          <w:ilvl w:val="0"/>
          <w:numId w:val="26"/>
        </w:numPr>
        <w:spacing w:line="360" w:lineRule="auto"/>
        <w:ind w:firstLineChars="0"/>
        <w:rPr>
          <w:rFonts w:hint="default" w:ascii="Times New Roman" w:hAnsi="Times New Roman" w:cs="Times New Roman"/>
          <w:sz w:val="24"/>
          <w:szCs w:val="32"/>
        </w:rPr>
      </w:pPr>
      <w:r>
        <w:rPr>
          <w:rFonts w:hint="default" w:ascii="Times New Roman" w:hAnsi="Times New Roman" w:cs="Times New Roman"/>
          <w:sz w:val="24"/>
          <w:szCs w:val="32"/>
        </w:rPr>
        <w:t>机械每年第一次使用时；</w:t>
      </w:r>
    </w:p>
    <w:p w14:paraId="1668F629">
      <w:pPr>
        <w:pStyle w:val="186"/>
        <w:numPr>
          <w:ilvl w:val="0"/>
          <w:numId w:val="26"/>
        </w:numPr>
        <w:spacing w:line="360" w:lineRule="auto"/>
        <w:ind w:firstLineChars="0"/>
        <w:rPr>
          <w:rFonts w:hint="default" w:ascii="Times New Roman" w:hAnsi="Times New Roman" w:cs="Times New Roman"/>
          <w:sz w:val="24"/>
          <w:szCs w:val="32"/>
        </w:rPr>
      </w:pPr>
      <w:r>
        <w:rPr>
          <w:rFonts w:hint="default" w:ascii="Times New Roman" w:hAnsi="Times New Roman" w:cs="Times New Roman"/>
          <w:sz w:val="24"/>
          <w:szCs w:val="32"/>
        </w:rPr>
        <w:t>新工程开工前；</w:t>
      </w:r>
    </w:p>
    <w:p w14:paraId="7B4BF07D">
      <w:pPr>
        <w:pStyle w:val="186"/>
        <w:numPr>
          <w:ilvl w:val="0"/>
          <w:numId w:val="26"/>
        </w:numPr>
        <w:spacing w:line="360" w:lineRule="auto"/>
        <w:ind w:firstLineChars="0"/>
        <w:rPr>
          <w:rFonts w:hint="default" w:ascii="Times New Roman" w:hAnsi="Times New Roman" w:cs="Times New Roman"/>
          <w:sz w:val="24"/>
          <w:szCs w:val="32"/>
        </w:rPr>
      </w:pPr>
      <w:r>
        <w:rPr>
          <w:rFonts w:hint="default" w:ascii="Times New Roman" w:hAnsi="Times New Roman" w:cs="Times New Roman"/>
          <w:sz w:val="24"/>
          <w:szCs w:val="32"/>
        </w:rPr>
        <w:t>原材料性质和用量发生较大变化时。</w:t>
      </w:r>
    </w:p>
    <w:p w14:paraId="336AFCF4">
      <w:pPr>
        <w:pStyle w:val="186"/>
        <w:numPr>
          <w:ilvl w:val="2"/>
          <w:numId w:val="21"/>
        </w:numPr>
        <w:spacing w:line="360" w:lineRule="auto"/>
        <w:ind w:left="0" w:firstLine="426" w:firstLineChars="0"/>
        <w:rPr>
          <w:rFonts w:hint="default" w:ascii="Times New Roman" w:hAnsi="Times New Roman" w:cs="Times New Roman"/>
          <w:sz w:val="24"/>
          <w:szCs w:val="32"/>
        </w:rPr>
      </w:pPr>
      <w:r>
        <w:rPr>
          <w:rFonts w:hint="default" w:ascii="Times New Roman" w:hAnsi="Times New Roman" w:cs="Times New Roman"/>
          <w:sz w:val="24"/>
          <w:szCs w:val="32"/>
        </w:rPr>
        <w:t>高延弹沥青混合料的施工温度应符合表7.1.4的规定。</w:t>
      </w:r>
    </w:p>
    <w:p w14:paraId="2A76FD3A">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表7.1.4高延弹沥青混合料的施工全过程的温度范围</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96"/>
        <w:gridCol w:w="4040"/>
      </w:tblGrid>
      <w:tr w14:paraId="2F455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31DD52B8">
            <w:pPr>
              <w:pStyle w:val="192"/>
              <w:rPr>
                <w:rFonts w:hint="default" w:ascii="Times New Roman" w:hAnsi="Times New Roman" w:cs="Times New Roman"/>
                <w:spacing w:val="-2"/>
                <w:szCs w:val="18"/>
              </w:rPr>
            </w:pPr>
            <w:r>
              <w:rPr>
                <w:rFonts w:hint="default" w:ascii="Times New Roman" w:hAnsi="Times New Roman" w:cs="Times New Roman"/>
                <w:spacing w:val="-2"/>
                <w:szCs w:val="18"/>
              </w:rPr>
              <w:t>工序</w:t>
            </w:r>
          </w:p>
        </w:tc>
        <w:tc>
          <w:tcPr>
            <w:tcW w:w="2423" w:type="pct"/>
            <w:shd w:val="clear" w:color="auto" w:fill="auto"/>
          </w:tcPr>
          <w:p w14:paraId="12BB1C9C">
            <w:pPr>
              <w:pStyle w:val="192"/>
              <w:rPr>
                <w:rFonts w:hint="default" w:ascii="Times New Roman" w:hAnsi="Times New Roman" w:cs="Times New Roman"/>
                <w:spacing w:val="-2"/>
                <w:szCs w:val="18"/>
              </w:rPr>
            </w:pPr>
            <w:r>
              <w:rPr>
                <w:rFonts w:hint="default" w:ascii="Times New Roman" w:hAnsi="Times New Roman" w:cs="Times New Roman"/>
                <w:spacing w:val="-2"/>
                <w:szCs w:val="18"/>
              </w:rPr>
              <w:t>温度范围/℃</w:t>
            </w:r>
          </w:p>
        </w:tc>
      </w:tr>
      <w:tr w14:paraId="5FC52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vAlign w:val="center"/>
          </w:tcPr>
          <w:p w14:paraId="410DFE75">
            <w:pPr>
              <w:pStyle w:val="192"/>
              <w:rPr>
                <w:rFonts w:hint="default" w:ascii="Times New Roman" w:hAnsi="Times New Roman" w:cs="Times New Roman"/>
                <w:spacing w:val="-2"/>
                <w:szCs w:val="18"/>
              </w:rPr>
            </w:pPr>
            <w:r>
              <w:rPr>
                <w:rFonts w:hint="default" w:ascii="Times New Roman" w:hAnsi="Times New Roman" w:cs="Times New Roman"/>
                <w:spacing w:val="-2"/>
                <w:szCs w:val="18"/>
              </w:rPr>
              <w:t>高延弹改性沥青加热温度</w:t>
            </w:r>
          </w:p>
        </w:tc>
        <w:tc>
          <w:tcPr>
            <w:tcW w:w="2423" w:type="pct"/>
            <w:shd w:val="clear" w:color="auto" w:fill="auto"/>
          </w:tcPr>
          <w:p w14:paraId="50E79828">
            <w:pPr>
              <w:pStyle w:val="192"/>
              <w:rPr>
                <w:rFonts w:hint="default" w:ascii="Times New Roman" w:hAnsi="Times New Roman" w:cs="Times New Roman"/>
                <w:spacing w:val="-2"/>
                <w:szCs w:val="18"/>
              </w:rPr>
            </w:pPr>
            <w:r>
              <w:rPr>
                <w:rFonts w:hint="default" w:ascii="Times New Roman" w:hAnsi="Times New Roman" w:cs="Times New Roman"/>
                <w:spacing w:val="-2"/>
                <w:szCs w:val="18"/>
              </w:rPr>
              <w:t>160~180</w:t>
            </w:r>
          </w:p>
        </w:tc>
      </w:tr>
      <w:tr w14:paraId="69484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0772B75A">
            <w:pPr>
              <w:pStyle w:val="192"/>
              <w:rPr>
                <w:rFonts w:hint="default" w:ascii="Times New Roman" w:hAnsi="Times New Roman" w:cs="Times New Roman"/>
                <w:spacing w:val="-2"/>
                <w:szCs w:val="18"/>
              </w:rPr>
            </w:pPr>
            <w:r>
              <w:rPr>
                <w:rFonts w:hint="default" w:ascii="Times New Roman" w:hAnsi="Times New Roman" w:cs="Times New Roman"/>
                <w:spacing w:val="-2"/>
                <w:szCs w:val="18"/>
              </w:rPr>
              <w:t>集料加热温度</w:t>
            </w:r>
          </w:p>
        </w:tc>
        <w:tc>
          <w:tcPr>
            <w:tcW w:w="2423" w:type="pct"/>
            <w:shd w:val="clear" w:color="auto" w:fill="auto"/>
          </w:tcPr>
          <w:p w14:paraId="56F0A720">
            <w:pPr>
              <w:pStyle w:val="192"/>
              <w:rPr>
                <w:rFonts w:hint="default" w:ascii="Times New Roman" w:hAnsi="Times New Roman" w:cs="Times New Roman"/>
                <w:spacing w:val="-2"/>
                <w:szCs w:val="18"/>
              </w:rPr>
            </w:pPr>
            <w:r>
              <w:rPr>
                <w:rFonts w:hint="default" w:ascii="Times New Roman" w:hAnsi="Times New Roman" w:cs="Times New Roman"/>
                <w:spacing w:val="-2"/>
                <w:szCs w:val="18"/>
              </w:rPr>
              <w:t>180~200</w:t>
            </w:r>
          </w:p>
        </w:tc>
      </w:tr>
      <w:tr w14:paraId="25415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16241854">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拌和温度</w:t>
            </w:r>
          </w:p>
        </w:tc>
        <w:tc>
          <w:tcPr>
            <w:tcW w:w="2423" w:type="pct"/>
            <w:shd w:val="clear" w:color="auto" w:fill="auto"/>
          </w:tcPr>
          <w:p w14:paraId="01C60884">
            <w:pPr>
              <w:pStyle w:val="192"/>
              <w:rPr>
                <w:rFonts w:hint="default" w:ascii="Times New Roman" w:hAnsi="Times New Roman" w:cs="Times New Roman"/>
                <w:spacing w:val="-2"/>
                <w:szCs w:val="18"/>
              </w:rPr>
            </w:pPr>
            <w:r>
              <w:rPr>
                <w:rFonts w:hint="default" w:ascii="Times New Roman" w:hAnsi="Times New Roman" w:cs="Times New Roman"/>
                <w:spacing w:val="-2"/>
                <w:szCs w:val="18"/>
              </w:rPr>
              <w:t>175~185</w:t>
            </w:r>
          </w:p>
        </w:tc>
      </w:tr>
      <w:tr w14:paraId="10A4C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56349FCB">
            <w:pPr>
              <w:pStyle w:val="192"/>
              <w:rPr>
                <w:rFonts w:hint="default" w:ascii="Times New Roman" w:hAnsi="Times New Roman" w:cs="Times New Roman"/>
                <w:spacing w:val="-2"/>
                <w:szCs w:val="18"/>
              </w:rPr>
            </w:pPr>
            <w:r>
              <w:rPr>
                <w:rFonts w:hint="default" w:ascii="Times New Roman" w:hAnsi="Times New Roman" w:cs="Times New Roman"/>
                <w:spacing w:val="-2"/>
                <w:szCs w:val="18"/>
              </w:rPr>
              <w:t>出厂温度</w:t>
            </w:r>
          </w:p>
        </w:tc>
        <w:tc>
          <w:tcPr>
            <w:tcW w:w="2423" w:type="pct"/>
            <w:shd w:val="clear" w:color="auto" w:fill="auto"/>
          </w:tcPr>
          <w:p w14:paraId="3BE30E35">
            <w:pPr>
              <w:pStyle w:val="192"/>
              <w:rPr>
                <w:rFonts w:hint="default" w:ascii="Times New Roman" w:hAnsi="Times New Roman" w:cs="Times New Roman"/>
                <w:spacing w:val="-2"/>
                <w:szCs w:val="18"/>
              </w:rPr>
            </w:pPr>
            <w:r>
              <w:rPr>
                <w:rFonts w:hint="default" w:ascii="Times New Roman" w:hAnsi="Times New Roman" w:cs="Times New Roman"/>
                <w:spacing w:val="-2"/>
                <w:szCs w:val="18"/>
              </w:rPr>
              <w:t>175~185</w:t>
            </w:r>
          </w:p>
        </w:tc>
      </w:tr>
      <w:tr w14:paraId="3C01C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1CF80E73">
            <w:pPr>
              <w:pStyle w:val="192"/>
              <w:rPr>
                <w:rFonts w:hint="default" w:ascii="Times New Roman" w:hAnsi="Times New Roman" w:cs="Times New Roman"/>
                <w:spacing w:val="-2"/>
                <w:szCs w:val="18"/>
              </w:rPr>
            </w:pPr>
            <w:r>
              <w:rPr>
                <w:rFonts w:hint="default" w:ascii="Times New Roman" w:hAnsi="Times New Roman" w:cs="Times New Roman"/>
                <w:spacing w:val="-2"/>
                <w:szCs w:val="18"/>
              </w:rPr>
              <w:t>混合料到场温度</w:t>
            </w:r>
          </w:p>
        </w:tc>
        <w:tc>
          <w:tcPr>
            <w:tcW w:w="2423" w:type="pct"/>
            <w:shd w:val="clear" w:color="auto" w:fill="auto"/>
          </w:tcPr>
          <w:p w14:paraId="734F15BC">
            <w:pPr>
              <w:pStyle w:val="192"/>
              <w:rPr>
                <w:rFonts w:hint="default" w:ascii="Times New Roman" w:hAnsi="Times New Roman" w:cs="Times New Roman"/>
                <w:spacing w:val="-2"/>
                <w:szCs w:val="18"/>
              </w:rPr>
            </w:pPr>
            <w:r>
              <w:rPr>
                <w:rFonts w:hint="default" w:ascii="Times New Roman" w:hAnsi="Times New Roman" w:cs="Times New Roman"/>
                <w:spacing w:val="-2"/>
                <w:szCs w:val="18"/>
              </w:rPr>
              <w:t>拌和出料后降低不超过10℃</w:t>
            </w:r>
          </w:p>
        </w:tc>
      </w:tr>
      <w:tr w14:paraId="7E5AA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2AC2AA02">
            <w:pPr>
              <w:pStyle w:val="192"/>
              <w:rPr>
                <w:rFonts w:hint="default" w:ascii="Times New Roman" w:hAnsi="Times New Roman" w:cs="Times New Roman"/>
                <w:spacing w:val="-2"/>
                <w:szCs w:val="18"/>
              </w:rPr>
            </w:pPr>
            <w:r>
              <w:rPr>
                <w:rFonts w:hint="default" w:ascii="Times New Roman" w:hAnsi="Times New Roman" w:cs="Times New Roman"/>
                <w:spacing w:val="-2"/>
                <w:szCs w:val="18"/>
              </w:rPr>
              <w:t>摊铺温度</w:t>
            </w:r>
          </w:p>
        </w:tc>
        <w:tc>
          <w:tcPr>
            <w:tcW w:w="2423" w:type="pct"/>
            <w:shd w:val="clear" w:color="auto" w:fill="auto"/>
          </w:tcPr>
          <w:p w14:paraId="0900CA39">
            <w:pPr>
              <w:pStyle w:val="192"/>
              <w:rPr>
                <w:rFonts w:hint="default" w:ascii="Times New Roman" w:hAnsi="Times New Roman" w:cs="Times New Roman"/>
                <w:spacing w:val="-2"/>
                <w:szCs w:val="18"/>
              </w:rPr>
            </w:pPr>
            <w:r>
              <w:rPr>
                <w:rFonts w:hint="default" w:ascii="Times New Roman" w:hAnsi="Times New Roman" w:cs="Times New Roman"/>
                <w:spacing w:val="-2"/>
                <w:szCs w:val="18"/>
              </w:rPr>
              <w:t>≥160</w:t>
            </w:r>
          </w:p>
        </w:tc>
      </w:tr>
      <w:tr w14:paraId="4DCFC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577" w:type="pct"/>
            <w:shd w:val="clear" w:color="auto" w:fill="auto"/>
          </w:tcPr>
          <w:p w14:paraId="7707AE00">
            <w:pPr>
              <w:pStyle w:val="192"/>
              <w:rPr>
                <w:rFonts w:hint="default" w:ascii="Times New Roman" w:hAnsi="Times New Roman" w:cs="Times New Roman"/>
                <w:spacing w:val="-2"/>
                <w:szCs w:val="18"/>
              </w:rPr>
            </w:pPr>
            <w:r>
              <w:rPr>
                <w:rFonts w:hint="default" w:ascii="Times New Roman" w:hAnsi="Times New Roman" w:cs="Times New Roman"/>
                <w:spacing w:val="-2"/>
                <w:szCs w:val="18"/>
              </w:rPr>
              <w:t>初压开始温度</w:t>
            </w:r>
          </w:p>
        </w:tc>
        <w:tc>
          <w:tcPr>
            <w:tcW w:w="2423" w:type="pct"/>
            <w:shd w:val="clear" w:color="auto" w:fill="auto"/>
          </w:tcPr>
          <w:p w14:paraId="7CAB2C4F">
            <w:pPr>
              <w:pStyle w:val="192"/>
              <w:rPr>
                <w:rFonts w:hint="default" w:ascii="Times New Roman" w:hAnsi="Times New Roman" w:cs="Times New Roman"/>
                <w:spacing w:val="-2"/>
                <w:szCs w:val="18"/>
              </w:rPr>
            </w:pPr>
            <w:r>
              <w:rPr>
                <w:rFonts w:hint="default" w:ascii="Times New Roman" w:hAnsi="Times New Roman" w:cs="Times New Roman"/>
                <w:spacing w:val="-2"/>
                <w:szCs w:val="18"/>
              </w:rPr>
              <w:t>≥150</w:t>
            </w:r>
          </w:p>
        </w:tc>
      </w:tr>
      <w:tr w14:paraId="120E2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577" w:type="pct"/>
            <w:shd w:val="clear" w:color="auto" w:fill="auto"/>
          </w:tcPr>
          <w:p w14:paraId="37C6C615">
            <w:pPr>
              <w:pStyle w:val="192"/>
              <w:rPr>
                <w:rFonts w:hint="default" w:ascii="Times New Roman" w:hAnsi="Times New Roman" w:cs="Times New Roman"/>
                <w:spacing w:val="-2"/>
                <w:szCs w:val="18"/>
              </w:rPr>
            </w:pPr>
            <w:r>
              <w:rPr>
                <w:rFonts w:hint="default" w:ascii="Times New Roman" w:hAnsi="Times New Roman" w:cs="Times New Roman"/>
                <w:spacing w:val="-2"/>
                <w:szCs w:val="18"/>
              </w:rPr>
              <w:t>开放交通时的路表温度</w:t>
            </w:r>
          </w:p>
        </w:tc>
        <w:tc>
          <w:tcPr>
            <w:tcW w:w="2423" w:type="pct"/>
            <w:shd w:val="clear" w:color="auto" w:fill="auto"/>
          </w:tcPr>
          <w:p w14:paraId="5FA9D99C">
            <w:pPr>
              <w:pStyle w:val="192"/>
              <w:rPr>
                <w:rFonts w:hint="default" w:ascii="Times New Roman" w:hAnsi="Times New Roman" w:cs="Times New Roman"/>
                <w:spacing w:val="-2"/>
                <w:szCs w:val="18"/>
              </w:rPr>
            </w:pPr>
            <w:r>
              <w:rPr>
                <w:rFonts w:hint="default" w:ascii="Times New Roman" w:hAnsi="Times New Roman" w:cs="Times New Roman"/>
                <w:spacing w:val="-2"/>
                <w:szCs w:val="18"/>
              </w:rPr>
              <w:t>≤50</w:t>
            </w:r>
          </w:p>
        </w:tc>
      </w:tr>
    </w:tbl>
    <w:p w14:paraId="4435FB11">
      <w:pPr>
        <w:pStyle w:val="186"/>
        <w:numPr>
          <w:ilvl w:val="2"/>
          <w:numId w:val="21"/>
        </w:numPr>
        <w:spacing w:line="360" w:lineRule="auto"/>
        <w:ind w:left="0" w:firstLine="426" w:firstLineChars="0"/>
        <w:rPr>
          <w:rFonts w:hint="default" w:ascii="Times New Roman" w:hAnsi="Times New Roman" w:cs="Times New Roman"/>
          <w:sz w:val="24"/>
          <w:szCs w:val="32"/>
        </w:rPr>
      </w:pPr>
      <w:r>
        <w:rPr>
          <w:rFonts w:hint="default" w:ascii="Times New Roman" w:hAnsi="Times New Roman" w:cs="Times New Roman"/>
          <w:sz w:val="24"/>
          <w:szCs w:val="32"/>
        </w:rPr>
        <w:t>应按生产配合比进行试拌，铺筑试验段，试验段长度不宜小于200m。应通过试验段确定的标准配合比和施工工艺，经监理或业主认可后作为正式施工依据，施工过程中不得随意更改。</w:t>
      </w:r>
    </w:p>
    <w:p w14:paraId="182FB762">
      <w:pPr>
        <w:pStyle w:val="186"/>
        <w:numPr>
          <w:ilvl w:val="2"/>
          <w:numId w:val="21"/>
        </w:numPr>
        <w:spacing w:line="360" w:lineRule="auto"/>
        <w:ind w:left="0" w:firstLine="425" w:firstLineChars="0"/>
        <w:rPr>
          <w:rFonts w:hint="default" w:ascii="Times New Roman" w:hAnsi="Times New Roman" w:cs="Times New Roman"/>
          <w:sz w:val="24"/>
          <w:szCs w:val="32"/>
        </w:rPr>
      </w:pPr>
      <w:r>
        <w:rPr>
          <w:rFonts w:hint="default" w:ascii="Times New Roman" w:hAnsi="Times New Roman" w:cs="Times New Roman"/>
          <w:sz w:val="24"/>
          <w:szCs w:val="32"/>
        </w:rPr>
        <w:t>高黏度改性乳化沥青黏层材料施工应满足JTG 5142 《公路沥青路面养护技术规范》的有关规定执行。</w:t>
      </w:r>
    </w:p>
    <w:p w14:paraId="2A72FA6B">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59" w:name="_Toc179636666"/>
      <w:bookmarkStart w:id="60" w:name="_Toc6748"/>
      <w:r>
        <w:rPr>
          <w:rFonts w:hint="default" w:ascii="Times New Roman" w:hAnsi="Times New Roman" w:cs="Times New Roman"/>
          <w:sz w:val="24"/>
        </w:rPr>
        <w:t>混合料拌和与运输</w:t>
      </w:r>
      <w:bookmarkEnd w:id="59"/>
      <w:bookmarkEnd w:id="60"/>
    </w:p>
    <w:p w14:paraId="0EDFC45A">
      <w:pPr>
        <w:pStyle w:val="29"/>
        <w:numPr>
          <w:ilvl w:val="2"/>
          <w:numId w:val="17"/>
        </w:numPr>
        <w:tabs>
          <w:tab w:val="left" w:pos="1134"/>
          <w:tab w:val="clear" w:pos="4201"/>
        </w:tabs>
        <w:spacing w:line="360" w:lineRule="auto"/>
        <w:ind w:left="0" w:firstLine="426" w:firstLineChars="0"/>
        <w:rPr>
          <w:rFonts w:hint="default" w:ascii="Times New Roman" w:hAnsi="Times New Roman" w:cs="Times New Roman"/>
          <w:sz w:val="24"/>
        </w:rPr>
      </w:pPr>
      <w:r>
        <w:rPr>
          <w:rFonts w:hint="default" w:ascii="Times New Roman" w:hAnsi="Times New Roman" w:cs="Times New Roman" w:eastAsiaTheme="minorEastAsia"/>
          <w:kern w:val="2"/>
          <w:sz w:val="24"/>
          <w:szCs w:val="32"/>
        </w:rPr>
        <w:t>高延弹改性沥青混合料应采用间歇式拌和设备进行拌制，间歇式拌和</w:t>
      </w:r>
      <w:r>
        <w:rPr>
          <w:rFonts w:hint="default" w:ascii="Times New Roman" w:hAnsi="Times New Roman" w:cs="Times New Roman"/>
          <w:sz w:val="24"/>
        </w:rPr>
        <w:t>机每盘的生产周期应适当延长5s~10s，沥青混合料的储存时间不宜超过6h。</w:t>
      </w:r>
    </w:p>
    <w:p w14:paraId="2DCD4112">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生产前应检查拌和楼状态，保证处于正常工作状态。拌和楼的计量系统、温度传感器系统应准确有效显示。</w:t>
      </w:r>
    </w:p>
    <w:p w14:paraId="53DBDC0A">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运料车的车厢底部和侧面板应涂刷适当的隔离剂，其中所用的油应不溶解沥青。</w:t>
      </w:r>
    </w:p>
    <w:p w14:paraId="19D4A450">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放料时车辆应前后移动，以避免混合料发生离析。每辆运料车在运输过程中应盖布防雨、防尘与保温。</w:t>
      </w:r>
    </w:p>
    <w:p w14:paraId="100400E3">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应根据拌和机的生产能力、摊铺速度、运距的长短来计划车辆数，以保证摊铺连续。</w:t>
      </w:r>
    </w:p>
    <w:p w14:paraId="5A436332">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61" w:name="_Toc5737"/>
      <w:bookmarkStart w:id="62" w:name="_Toc179636667"/>
      <w:bookmarkStart w:id="63" w:name="_Toc179636668"/>
      <w:r>
        <w:rPr>
          <w:rFonts w:hint="default" w:ascii="Times New Roman" w:hAnsi="Times New Roman" w:cs="Times New Roman"/>
          <w:sz w:val="24"/>
        </w:rPr>
        <w:t>黏层材料喷洒与摊铺</w:t>
      </w:r>
      <w:bookmarkEnd w:id="61"/>
      <w:bookmarkEnd w:id="62"/>
    </w:p>
    <w:p w14:paraId="6641693A">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高延弹超薄罩面应采用专用同步摊铺设备进行铺筑，施工设备应包含受料斗、传送带、带加热功能的乳化沥青储存罐、智能喷洒系统、宽度可调节的振动熨平板等部分。可一次同步实施乳化沥青喷洒、混合料摊铺及熨平，乳化沥青喷洒与混合料摊铺时间间隔不应超过5s。</w:t>
      </w:r>
    </w:p>
    <w:p w14:paraId="766EBDC5">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高黏度改性乳化沥青喷洒温度不应小于80℃，热沥青混合料摊铺在高黏改性乳化沥青喷洒的表面上。</w:t>
      </w:r>
    </w:p>
    <w:p w14:paraId="11731765">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高黏度改性乳化沥青的喷洒量以0.6L/m</w:t>
      </w:r>
      <w:r>
        <w:rPr>
          <w:rFonts w:hint="default" w:ascii="Times New Roman" w:hAnsi="Times New Roman" w:cs="Times New Roman"/>
          <w:sz w:val="24"/>
          <w:vertAlign w:val="superscript"/>
        </w:rPr>
        <w:t>2</w:t>
      </w:r>
      <w:r>
        <w:rPr>
          <w:rFonts w:hint="default" w:ascii="Times New Roman" w:hAnsi="Times New Roman" w:cs="Times New Roman"/>
          <w:sz w:val="24"/>
        </w:rPr>
        <w:t>~1.0L/m</w:t>
      </w:r>
      <w:r>
        <w:rPr>
          <w:rFonts w:hint="default" w:ascii="Times New Roman" w:hAnsi="Times New Roman" w:cs="Times New Roman"/>
          <w:sz w:val="24"/>
          <w:vertAlign w:val="superscript"/>
        </w:rPr>
        <w:t>2</w:t>
      </w:r>
      <w:r>
        <w:rPr>
          <w:rFonts w:hint="default" w:ascii="Times New Roman" w:hAnsi="Times New Roman" w:cs="Times New Roman"/>
          <w:sz w:val="24"/>
        </w:rPr>
        <w:t>为基准，并根据原路面状况、气候条件、交通量等进行调节。</w:t>
      </w:r>
    </w:p>
    <w:p w14:paraId="075535AB">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摊铺机开工前应提前0.5h~lh预热熨平板，温度不应低于110℃。</w:t>
      </w:r>
    </w:p>
    <w:p w14:paraId="6AF88888">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高延弹超薄罩面混合料摊铺速度宜为7m/min~12m/min。</w:t>
      </w:r>
    </w:p>
    <w:p w14:paraId="22170983">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64" w:name="_Toc18279"/>
      <w:r>
        <w:rPr>
          <w:rFonts w:hint="default" w:ascii="Times New Roman" w:hAnsi="Times New Roman" w:cs="Times New Roman"/>
          <w:sz w:val="24"/>
        </w:rPr>
        <w:t>碾压</w:t>
      </w:r>
      <w:bookmarkEnd w:id="63"/>
      <w:bookmarkEnd w:id="64"/>
    </w:p>
    <w:p w14:paraId="05E441D5">
      <w:pPr>
        <w:pStyle w:val="29"/>
        <w:numPr>
          <w:ilvl w:val="2"/>
          <w:numId w:val="17"/>
        </w:numPr>
        <w:tabs>
          <w:tab w:val="center" w:pos="993"/>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碾压应在沥青混合料温度下降至90℃之前完成，碾压过程中使用11t~13t双钢轮压路机静压2~3遍，碾压过程中严禁开启振动，不宜使用轮胎压路机。</w:t>
      </w:r>
      <w:bookmarkStart w:id="65" w:name="_Hlk84335310"/>
    </w:p>
    <w:p w14:paraId="4A140164">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工作面受限的情况下，应配备一台3T小钢轮压路机紧跟摊铺机碾压</w:t>
      </w:r>
      <w:bookmarkEnd w:id="65"/>
      <w:r>
        <w:rPr>
          <w:rFonts w:hint="default" w:ascii="Times New Roman" w:hAnsi="Times New Roman" w:cs="Times New Roman"/>
          <w:sz w:val="24"/>
        </w:rPr>
        <w:t>。</w:t>
      </w:r>
    </w:p>
    <w:p w14:paraId="30AF0D3C">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碾压速度控制在6km/h~8km/h，压实次数可根据现场情况调整，避免石料压碎，防止路表泛白。</w:t>
      </w:r>
    </w:p>
    <w:p w14:paraId="79E9EBDC">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碾压时，压路机的轮迹应重叠1/2以上，且边部压实遍数应多于规定碾压遍数2遍以上，严禁压路机在施工作业面上急刹车、调头、停留等。</w:t>
      </w:r>
    </w:p>
    <w:p w14:paraId="4CA2A6E0">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66" w:name="_Toc32492"/>
      <w:bookmarkStart w:id="67" w:name="_Toc126742851"/>
      <w:bookmarkStart w:id="68" w:name="_Toc179636669"/>
      <w:r>
        <w:rPr>
          <w:rFonts w:hint="default" w:ascii="Times New Roman" w:hAnsi="Times New Roman" w:cs="Times New Roman"/>
          <w:sz w:val="24"/>
        </w:rPr>
        <w:t>接缝</w:t>
      </w:r>
      <w:bookmarkEnd w:id="66"/>
      <w:bookmarkEnd w:id="67"/>
      <w:bookmarkEnd w:id="68"/>
      <w:r>
        <w:rPr>
          <w:rFonts w:hint="default" w:ascii="Times New Roman" w:hAnsi="Times New Roman" w:cs="Times New Roman"/>
          <w:sz w:val="24"/>
        </w:rPr>
        <w:t xml:space="preserve">  </w:t>
      </w:r>
    </w:p>
    <w:p w14:paraId="7D3301F0">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施工过程中新旧作业面引起的横向接缝，应采用垂直的平缝。</w:t>
      </w:r>
    </w:p>
    <w:p w14:paraId="1FC1E51C">
      <w:pPr>
        <w:pStyle w:val="29"/>
        <w:numPr>
          <w:ilvl w:val="2"/>
          <w:numId w:val="17"/>
        </w:numPr>
        <w:tabs>
          <w:tab w:val="center" w:pos="1134"/>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纵向接缝宜为冷接缝，摊铺宽度宜为一个车道。纵向接缝宜位于标线处。</w:t>
      </w:r>
    </w:p>
    <w:p w14:paraId="2B12D1E2">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69" w:name="_Toc126742852"/>
      <w:bookmarkStart w:id="70" w:name="_Toc179636670"/>
      <w:bookmarkStart w:id="71" w:name="_Toc2834"/>
      <w:r>
        <w:rPr>
          <w:rFonts w:hint="default" w:ascii="Times New Roman" w:hAnsi="Times New Roman" w:cs="Times New Roman"/>
          <w:sz w:val="24"/>
        </w:rPr>
        <w:t>养护与开放交通</w:t>
      </w:r>
      <w:bookmarkEnd w:id="69"/>
      <w:bookmarkEnd w:id="70"/>
      <w:bookmarkEnd w:id="71"/>
    </w:p>
    <w:p w14:paraId="19771109">
      <w:pPr>
        <w:pStyle w:val="29"/>
        <w:numPr>
          <w:ilvl w:val="2"/>
          <w:numId w:val="17"/>
        </w:numPr>
        <w:tabs>
          <w:tab w:val="center" w:pos="993"/>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应待摊铺层自然冷却、混合料表面温度低于50℃后再开放交通。</w:t>
      </w:r>
    </w:p>
    <w:p w14:paraId="42C7E806">
      <w:pPr>
        <w:pStyle w:val="29"/>
        <w:numPr>
          <w:ilvl w:val="2"/>
          <w:numId w:val="17"/>
        </w:numPr>
        <w:tabs>
          <w:tab w:val="center" w:pos="993"/>
          <w:tab w:val="clear" w:pos="4201"/>
        </w:tabs>
        <w:spacing w:line="360" w:lineRule="auto"/>
        <w:ind w:left="0" w:firstLine="413" w:firstLineChars="0"/>
        <w:rPr>
          <w:rFonts w:hint="default" w:ascii="Times New Roman" w:hAnsi="Times New Roman" w:cs="Times New Roman"/>
          <w:sz w:val="24"/>
        </w:rPr>
      </w:pPr>
      <w:r>
        <w:rPr>
          <w:rFonts w:hint="default" w:ascii="Times New Roman" w:hAnsi="Times New Roman" w:cs="Times New Roman"/>
          <w:sz w:val="24"/>
        </w:rPr>
        <w:t>高延弹超薄罩面施工完成后，应施划标线，恢复交通。</w:t>
      </w:r>
    </w:p>
    <w:p w14:paraId="64D77BAB">
      <w:pPr>
        <w:widowControl/>
        <w:jc w:val="left"/>
        <w:rPr>
          <w:rFonts w:hint="default" w:ascii="Times New Roman" w:hAnsi="Times New Roman" w:cs="Times New Roman"/>
          <w:sz w:val="24"/>
        </w:rPr>
        <w:sectPr>
          <w:headerReference r:id="rId12" w:type="even"/>
          <w:type w:val="continuous"/>
          <w:pgSz w:w="11906" w:h="16838"/>
          <w:pgMar w:top="1440" w:right="1800" w:bottom="1440" w:left="1800" w:header="850" w:footer="992" w:gutter="0"/>
          <w:cols w:space="425" w:num="1"/>
          <w:formProt w:val="0"/>
          <w:docGrid w:type="lines" w:linePitch="312" w:charSpace="0"/>
        </w:sectPr>
      </w:pPr>
      <w:r>
        <w:rPr>
          <w:rFonts w:hint="default" w:ascii="Times New Roman" w:hAnsi="Times New Roman" w:cs="Times New Roman"/>
          <w:sz w:val="24"/>
        </w:rPr>
        <w:br w:type="page"/>
      </w:r>
    </w:p>
    <w:p w14:paraId="0B55F20B">
      <w:pPr>
        <w:pStyle w:val="52"/>
        <w:numPr>
          <w:ilvl w:val="0"/>
          <w:numId w:val="17"/>
        </w:numPr>
        <w:spacing w:beforeLines="0" w:afterLines="0" w:line="360" w:lineRule="auto"/>
        <w:ind w:hanging="283"/>
        <w:outlineLvl w:val="0"/>
        <w:rPr>
          <w:rFonts w:hint="default" w:ascii="Times New Roman" w:hAnsi="Times New Roman" w:cs="Times New Roman" w:eastAsiaTheme="minorEastAsia"/>
          <w:b/>
          <w:bCs/>
          <w:sz w:val="32"/>
          <w:szCs w:val="22"/>
        </w:rPr>
      </w:pPr>
      <w:bookmarkStart w:id="72" w:name="_Toc126742853"/>
      <w:bookmarkStart w:id="73" w:name="_Toc179636671"/>
      <w:bookmarkStart w:id="74" w:name="_Toc22517"/>
      <w:r>
        <w:rPr>
          <w:rFonts w:hint="default" w:ascii="Times New Roman" w:hAnsi="Times New Roman" w:cs="Times New Roman" w:eastAsiaTheme="minorEastAsia"/>
          <w:b/>
          <w:bCs/>
          <w:sz w:val="32"/>
          <w:szCs w:val="22"/>
        </w:rPr>
        <w:t>施工质量控制与检查验收</w:t>
      </w:r>
      <w:bookmarkEnd w:id="72"/>
      <w:bookmarkEnd w:id="73"/>
      <w:bookmarkEnd w:id="74"/>
    </w:p>
    <w:p w14:paraId="77F852E7">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75" w:name="_Toc289597588"/>
      <w:bookmarkStart w:id="76" w:name="_Toc16636"/>
      <w:bookmarkStart w:id="77" w:name="_Toc126742854"/>
      <w:bookmarkStart w:id="78" w:name="_Toc179636672"/>
      <w:bookmarkStart w:id="79" w:name="_Toc278541461"/>
      <w:r>
        <w:rPr>
          <w:rFonts w:hint="default" w:ascii="Times New Roman" w:hAnsi="Times New Roman" w:cs="Times New Roman"/>
          <w:sz w:val="24"/>
        </w:rPr>
        <w:t>原材料质量控制</w:t>
      </w:r>
      <w:bookmarkEnd w:id="75"/>
      <w:bookmarkEnd w:id="76"/>
      <w:bookmarkEnd w:id="77"/>
      <w:bookmarkEnd w:id="78"/>
      <w:bookmarkEnd w:id="79"/>
    </w:p>
    <w:p w14:paraId="35DF2585">
      <w:pPr>
        <w:pStyle w:val="186"/>
        <w:numPr>
          <w:ilvl w:val="2"/>
          <w:numId w:val="27"/>
        </w:numPr>
        <w:tabs>
          <w:tab w:val="left" w:pos="993"/>
        </w:tabs>
        <w:spacing w:line="360" w:lineRule="auto"/>
        <w:ind w:left="0" w:firstLine="414" w:firstLineChars="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施工前应对原材料进行质量检查，应符合表8.1.1的规定。</w:t>
      </w:r>
    </w:p>
    <w:p w14:paraId="26B48E38">
      <w:pPr>
        <w:pStyle w:val="190"/>
        <w:ind w:left="36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表8.1.1 施工前的原材料质量控制要求</w:t>
      </w:r>
    </w:p>
    <w:tbl>
      <w:tblPr>
        <w:tblStyle w:val="18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3165"/>
        <w:gridCol w:w="1752"/>
        <w:gridCol w:w="1822"/>
      </w:tblGrid>
      <w:tr w14:paraId="6A610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46" w:type="pct"/>
            <w:vAlign w:val="center"/>
          </w:tcPr>
          <w:p w14:paraId="77C0B370">
            <w:pPr>
              <w:pStyle w:val="192"/>
              <w:rPr>
                <w:rFonts w:hint="default" w:ascii="Times New Roman" w:hAnsi="Times New Roman" w:cs="Times New Roman"/>
                <w:spacing w:val="-2"/>
              </w:rPr>
            </w:pPr>
            <w:r>
              <w:rPr>
                <w:rFonts w:hint="default" w:ascii="Times New Roman" w:hAnsi="Times New Roman" w:cs="Times New Roman"/>
                <w:spacing w:val="-2"/>
              </w:rPr>
              <w:t>材料</w:t>
            </w:r>
          </w:p>
        </w:tc>
        <w:tc>
          <w:tcPr>
            <w:tcW w:w="1857" w:type="pct"/>
            <w:tcBorders>
              <w:bottom w:val="single" w:color="auto" w:sz="4" w:space="0"/>
            </w:tcBorders>
            <w:vAlign w:val="center"/>
          </w:tcPr>
          <w:p w14:paraId="36B0B943">
            <w:pPr>
              <w:pStyle w:val="192"/>
              <w:rPr>
                <w:rFonts w:hint="default" w:ascii="Times New Roman" w:hAnsi="Times New Roman" w:cs="Times New Roman"/>
                <w:spacing w:val="-2"/>
              </w:rPr>
            </w:pPr>
            <w:r>
              <w:rPr>
                <w:rFonts w:hint="default" w:ascii="Times New Roman" w:hAnsi="Times New Roman" w:cs="Times New Roman"/>
                <w:spacing w:val="-2"/>
              </w:rPr>
              <w:t>检查项目</w:t>
            </w:r>
          </w:p>
        </w:tc>
        <w:tc>
          <w:tcPr>
            <w:tcW w:w="1028" w:type="pct"/>
            <w:tcBorders>
              <w:bottom w:val="single" w:color="auto" w:sz="4" w:space="0"/>
            </w:tcBorders>
            <w:vAlign w:val="center"/>
          </w:tcPr>
          <w:p w14:paraId="34C016A2">
            <w:pPr>
              <w:pStyle w:val="192"/>
              <w:rPr>
                <w:rFonts w:hint="default" w:ascii="Times New Roman" w:hAnsi="Times New Roman" w:cs="Times New Roman"/>
                <w:spacing w:val="-2"/>
              </w:rPr>
            </w:pPr>
            <w:r>
              <w:rPr>
                <w:rFonts w:hint="default" w:ascii="Times New Roman" w:hAnsi="Times New Roman" w:cs="Times New Roman"/>
                <w:spacing w:val="-2"/>
              </w:rPr>
              <w:t>质量要求</w:t>
            </w:r>
          </w:p>
        </w:tc>
        <w:tc>
          <w:tcPr>
            <w:tcW w:w="1069" w:type="pct"/>
            <w:tcBorders>
              <w:bottom w:val="single" w:color="auto" w:sz="4" w:space="0"/>
            </w:tcBorders>
            <w:vAlign w:val="center"/>
          </w:tcPr>
          <w:p w14:paraId="48310FC8">
            <w:pPr>
              <w:pStyle w:val="192"/>
              <w:rPr>
                <w:rFonts w:hint="default" w:ascii="Times New Roman" w:hAnsi="Times New Roman" w:cs="Times New Roman"/>
                <w:spacing w:val="-2"/>
              </w:rPr>
            </w:pPr>
            <w:r>
              <w:rPr>
                <w:rFonts w:hint="default" w:ascii="Times New Roman" w:hAnsi="Times New Roman" w:cs="Times New Roman"/>
                <w:spacing w:val="-2"/>
              </w:rPr>
              <w:t>检查频率</w:t>
            </w:r>
          </w:p>
        </w:tc>
      </w:tr>
      <w:tr w14:paraId="5F6D3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26ADC4B5">
            <w:pPr>
              <w:pStyle w:val="192"/>
              <w:rPr>
                <w:rFonts w:hint="default" w:ascii="Times New Roman" w:hAnsi="Times New Roman" w:cs="Times New Roman"/>
                <w:spacing w:val="-2"/>
              </w:rPr>
            </w:pPr>
            <w:r>
              <w:rPr>
                <w:rFonts w:hint="default" w:ascii="Times New Roman" w:hAnsi="Times New Roman" w:cs="Times New Roman"/>
                <w:spacing w:val="-2"/>
              </w:rPr>
              <w:t>高延弹改性沥青</w:t>
            </w:r>
          </w:p>
        </w:tc>
        <w:tc>
          <w:tcPr>
            <w:tcW w:w="1857" w:type="pct"/>
            <w:vAlign w:val="center"/>
          </w:tcPr>
          <w:p w14:paraId="736029C5">
            <w:pPr>
              <w:pStyle w:val="192"/>
              <w:rPr>
                <w:rFonts w:hint="default" w:ascii="Times New Roman" w:hAnsi="Times New Roman" w:cs="Times New Roman"/>
                <w:spacing w:val="-2"/>
              </w:rPr>
            </w:pPr>
            <w:r>
              <w:rPr>
                <w:rFonts w:hint="default" w:ascii="Times New Roman" w:hAnsi="Times New Roman" w:cs="Times New Roman"/>
                <w:spacing w:val="-2"/>
              </w:rPr>
              <w:t>表5.2.1中要求的检测项目</w:t>
            </w:r>
          </w:p>
        </w:tc>
        <w:tc>
          <w:tcPr>
            <w:tcW w:w="1028" w:type="pct"/>
            <w:vMerge w:val="restart"/>
            <w:vAlign w:val="center"/>
          </w:tcPr>
          <w:p w14:paraId="4B2F587C">
            <w:pPr>
              <w:pStyle w:val="192"/>
              <w:rPr>
                <w:rFonts w:hint="default" w:ascii="Times New Roman" w:hAnsi="Times New Roman" w:cs="Times New Roman"/>
                <w:spacing w:val="-2"/>
              </w:rPr>
            </w:pPr>
            <w:r>
              <w:rPr>
                <w:rFonts w:hint="default" w:ascii="Times New Roman" w:hAnsi="Times New Roman" w:cs="Times New Roman"/>
                <w:spacing w:val="-2"/>
              </w:rPr>
              <w:t>符合本指南要求</w:t>
            </w:r>
          </w:p>
        </w:tc>
        <w:tc>
          <w:tcPr>
            <w:tcW w:w="1069" w:type="pct"/>
            <w:vAlign w:val="center"/>
          </w:tcPr>
          <w:p w14:paraId="726278DE">
            <w:pPr>
              <w:pStyle w:val="192"/>
              <w:rPr>
                <w:rFonts w:hint="default" w:ascii="Times New Roman" w:hAnsi="Times New Roman" w:cs="Times New Roman"/>
                <w:spacing w:val="-2"/>
              </w:rPr>
            </w:pPr>
            <w:r>
              <w:rPr>
                <w:rFonts w:hint="default" w:ascii="Times New Roman" w:hAnsi="Times New Roman" w:cs="Times New Roman"/>
                <w:spacing w:val="-2"/>
              </w:rPr>
              <w:t>每批来料1次，每批不大于20t</w:t>
            </w:r>
          </w:p>
        </w:tc>
      </w:tr>
      <w:tr w14:paraId="3F095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33A88FED">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高黏度改性乳化沥青黏层材料</w:t>
            </w:r>
          </w:p>
        </w:tc>
        <w:tc>
          <w:tcPr>
            <w:tcW w:w="1857" w:type="pct"/>
            <w:tcBorders>
              <w:bottom w:val="single" w:color="auto" w:sz="4" w:space="0"/>
            </w:tcBorders>
            <w:vAlign w:val="center"/>
          </w:tcPr>
          <w:p w14:paraId="64A64E50">
            <w:pPr>
              <w:pStyle w:val="192"/>
              <w:rPr>
                <w:rFonts w:hint="default" w:ascii="Times New Roman" w:hAnsi="Times New Roman" w:cs="Times New Roman"/>
                <w:spacing w:val="-2"/>
              </w:rPr>
            </w:pPr>
            <w:r>
              <w:rPr>
                <w:rFonts w:hint="default" w:ascii="Times New Roman" w:hAnsi="Times New Roman" w:cs="Times New Roman"/>
                <w:spacing w:val="-2"/>
              </w:rPr>
              <w:t>表5.3.1中要求的检测项目</w:t>
            </w:r>
          </w:p>
        </w:tc>
        <w:tc>
          <w:tcPr>
            <w:tcW w:w="1028" w:type="pct"/>
            <w:vMerge w:val="continue"/>
          </w:tcPr>
          <w:p w14:paraId="5B173D62">
            <w:pPr>
              <w:pStyle w:val="192"/>
              <w:rPr>
                <w:rFonts w:hint="default" w:ascii="Times New Roman" w:hAnsi="Times New Roman" w:cs="Times New Roman"/>
                <w:spacing w:val="-2"/>
              </w:rPr>
            </w:pPr>
          </w:p>
        </w:tc>
        <w:tc>
          <w:tcPr>
            <w:tcW w:w="1069" w:type="pct"/>
            <w:tcBorders>
              <w:bottom w:val="single" w:color="auto" w:sz="4" w:space="0"/>
            </w:tcBorders>
          </w:tcPr>
          <w:p w14:paraId="259ACF24">
            <w:pPr>
              <w:pStyle w:val="192"/>
              <w:rPr>
                <w:rFonts w:hint="default" w:ascii="Times New Roman" w:hAnsi="Times New Roman" w:cs="Times New Roman"/>
                <w:spacing w:val="-2"/>
              </w:rPr>
            </w:pPr>
            <w:r>
              <w:rPr>
                <w:rFonts w:hint="default" w:ascii="Times New Roman" w:hAnsi="Times New Roman" w:cs="Times New Roman"/>
                <w:spacing w:val="-2"/>
              </w:rPr>
              <w:t>每批来料1次，每批不大于100t</w:t>
            </w:r>
          </w:p>
        </w:tc>
      </w:tr>
      <w:tr w14:paraId="4AAF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2FDE3F02">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集料及填料</w:t>
            </w:r>
          </w:p>
        </w:tc>
        <w:tc>
          <w:tcPr>
            <w:tcW w:w="1857" w:type="pct"/>
            <w:vAlign w:val="center"/>
          </w:tcPr>
          <w:p w14:paraId="7C23ED9D">
            <w:pPr>
              <w:pStyle w:val="192"/>
              <w:rPr>
                <w:rFonts w:hint="default" w:ascii="Times New Roman" w:hAnsi="Times New Roman" w:cs="Times New Roman"/>
                <w:spacing w:val="-2"/>
              </w:rPr>
            </w:pPr>
            <w:r>
              <w:rPr>
                <w:rFonts w:hint="default" w:ascii="Times New Roman" w:hAnsi="Times New Roman" w:cs="Times New Roman"/>
                <w:spacing w:val="-2"/>
              </w:rPr>
              <w:t>表5</w:t>
            </w:r>
            <w:r>
              <w:rPr>
                <w:rFonts w:hint="default" w:ascii="Times New Roman" w:hAnsi="Times New Roman" w:cs="Times New Roman"/>
              </w:rPr>
              <w:t>.4.1、表5.4.2、表5.4.3、表5.4.4、表5.4.5中要求的检测项目</w:t>
            </w:r>
          </w:p>
        </w:tc>
        <w:tc>
          <w:tcPr>
            <w:tcW w:w="1028" w:type="pct"/>
            <w:vMerge w:val="continue"/>
          </w:tcPr>
          <w:p w14:paraId="095FA197">
            <w:pPr>
              <w:pStyle w:val="192"/>
              <w:rPr>
                <w:rFonts w:hint="default" w:ascii="Times New Roman" w:hAnsi="Times New Roman" w:cs="Times New Roman"/>
                <w:spacing w:val="-2"/>
              </w:rPr>
            </w:pPr>
          </w:p>
        </w:tc>
        <w:tc>
          <w:tcPr>
            <w:tcW w:w="1069" w:type="pct"/>
          </w:tcPr>
          <w:p w14:paraId="34C6D394">
            <w:pPr>
              <w:pStyle w:val="192"/>
              <w:rPr>
                <w:rFonts w:hint="default" w:ascii="Times New Roman" w:hAnsi="Times New Roman" w:cs="Times New Roman"/>
                <w:spacing w:val="-2"/>
              </w:rPr>
            </w:pPr>
            <w:r>
              <w:rPr>
                <w:rFonts w:hint="default" w:ascii="Times New Roman" w:hAnsi="Times New Roman" w:cs="Times New Roman"/>
                <w:spacing w:val="-2"/>
              </w:rPr>
              <w:t>每批检验1次，每批不大于100t</w:t>
            </w:r>
          </w:p>
        </w:tc>
      </w:tr>
      <w:tr w14:paraId="5EE92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46" w:type="pct"/>
            <w:vAlign w:val="center"/>
          </w:tcPr>
          <w:p w14:paraId="0ACF701F">
            <w:pPr>
              <w:pStyle w:val="192"/>
              <w:rPr>
                <w:rStyle w:val="180"/>
                <w:rFonts w:hint="default" w:ascii="Times New Roman" w:hAnsi="Times New Roman" w:cs="Times New Roman"/>
                <w:spacing w:val="-2"/>
                <w:sz w:val="21"/>
                <w:szCs w:val="21"/>
              </w:rPr>
            </w:pPr>
            <w:r>
              <w:rPr>
                <w:rStyle w:val="180"/>
                <w:rFonts w:hint="default" w:ascii="Times New Roman" w:hAnsi="Times New Roman" w:cs="Times New Roman"/>
                <w:spacing w:val="-2"/>
                <w:sz w:val="21"/>
                <w:szCs w:val="21"/>
              </w:rPr>
              <w:t>灌缝胶</w:t>
            </w:r>
          </w:p>
        </w:tc>
        <w:tc>
          <w:tcPr>
            <w:tcW w:w="1857" w:type="pct"/>
            <w:vAlign w:val="center"/>
          </w:tcPr>
          <w:p w14:paraId="530D09B6">
            <w:pPr>
              <w:pStyle w:val="192"/>
              <w:rPr>
                <w:rFonts w:hint="default" w:ascii="Times New Roman" w:hAnsi="Times New Roman" w:cs="Times New Roman"/>
                <w:spacing w:val="-2"/>
              </w:rPr>
            </w:pPr>
            <w:r>
              <w:rPr>
                <w:rFonts w:hint="default" w:ascii="Times New Roman" w:hAnsi="Times New Roman" w:cs="Times New Roman"/>
                <w:spacing w:val="-2"/>
              </w:rPr>
              <w:t>表5</w:t>
            </w:r>
            <w:r>
              <w:rPr>
                <w:rFonts w:hint="default" w:ascii="Times New Roman" w:hAnsi="Times New Roman" w:cs="Times New Roman"/>
              </w:rPr>
              <w:t>.5.1中要求的检测项目</w:t>
            </w:r>
          </w:p>
        </w:tc>
        <w:tc>
          <w:tcPr>
            <w:tcW w:w="1028" w:type="pct"/>
            <w:vMerge w:val="continue"/>
          </w:tcPr>
          <w:p w14:paraId="363A6AA7">
            <w:pPr>
              <w:pStyle w:val="192"/>
              <w:rPr>
                <w:rFonts w:hint="default" w:ascii="Times New Roman" w:hAnsi="Times New Roman" w:cs="Times New Roman"/>
                <w:spacing w:val="-2"/>
              </w:rPr>
            </w:pPr>
          </w:p>
        </w:tc>
        <w:tc>
          <w:tcPr>
            <w:tcW w:w="1069" w:type="pct"/>
          </w:tcPr>
          <w:p w14:paraId="7A1A52D8">
            <w:pPr>
              <w:pStyle w:val="192"/>
              <w:rPr>
                <w:rFonts w:hint="default" w:ascii="Times New Roman" w:hAnsi="Times New Roman" w:cs="Times New Roman"/>
                <w:spacing w:val="-2"/>
              </w:rPr>
            </w:pPr>
            <w:r>
              <w:rPr>
                <w:rFonts w:hint="default" w:ascii="Times New Roman" w:hAnsi="Times New Roman" w:cs="Times New Roman"/>
                <w:spacing w:val="-2"/>
              </w:rPr>
              <w:t>每批检验1次，每批不大于10t</w:t>
            </w:r>
          </w:p>
        </w:tc>
      </w:tr>
    </w:tbl>
    <w:p w14:paraId="6FA0FE00">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80" w:name="_Toc27587"/>
      <w:bookmarkStart w:id="81" w:name="_Toc179636673"/>
      <w:r>
        <w:rPr>
          <w:rFonts w:hint="default" w:ascii="Times New Roman" w:hAnsi="Times New Roman" w:cs="Times New Roman"/>
          <w:sz w:val="24"/>
        </w:rPr>
        <w:t>施工过程中质量控制</w:t>
      </w:r>
      <w:bookmarkEnd w:id="80"/>
      <w:bookmarkEnd w:id="81"/>
    </w:p>
    <w:p w14:paraId="197832D5">
      <w:pPr>
        <w:pStyle w:val="186"/>
        <w:numPr>
          <w:ilvl w:val="2"/>
          <w:numId w:val="17"/>
        </w:numPr>
        <w:tabs>
          <w:tab w:val="left" w:pos="993"/>
        </w:tabs>
        <w:spacing w:line="360" w:lineRule="auto"/>
        <w:ind w:left="0" w:firstLine="426" w:firstLineChars="0"/>
        <w:rPr>
          <w:rFonts w:hint="default" w:ascii="Times New Roman" w:hAnsi="Times New Roman" w:cs="Times New Roman"/>
          <w:kern w:val="0"/>
          <w:sz w:val="24"/>
        </w:rPr>
      </w:pPr>
      <w:r>
        <w:rPr>
          <w:rFonts w:hint="default" w:ascii="Times New Roman" w:hAnsi="Times New Roman" w:cs="Times New Roman"/>
          <w:kern w:val="0"/>
          <w:sz w:val="24"/>
        </w:rPr>
        <w:t>施工过程中，高延弹超薄罩面用沥青混合料的检验频率和质量要求，应按现行《公路沥青路面施工技术规范》（JTG F40）的规定执行。</w:t>
      </w:r>
    </w:p>
    <w:p w14:paraId="4887EBAA">
      <w:pPr>
        <w:pStyle w:val="186"/>
        <w:numPr>
          <w:ilvl w:val="2"/>
          <w:numId w:val="17"/>
        </w:numPr>
        <w:tabs>
          <w:tab w:val="left" w:pos="993"/>
        </w:tabs>
        <w:spacing w:line="360" w:lineRule="auto"/>
        <w:ind w:left="0" w:firstLine="413" w:firstLineChars="0"/>
        <w:rPr>
          <w:rFonts w:hint="default" w:ascii="Times New Roman" w:hAnsi="Times New Roman" w:cs="Times New Roman"/>
          <w:sz w:val="24"/>
          <w:szCs w:val="24"/>
        </w:rPr>
      </w:pPr>
      <w:r>
        <w:rPr>
          <w:rFonts w:hint="default" w:ascii="Times New Roman" w:hAnsi="Times New Roman" w:cs="Times New Roman"/>
          <w:sz w:val="24"/>
          <w:szCs w:val="24"/>
        </w:rPr>
        <w:t>高延弹超薄罩面的施工过程质量控制要求应表8.2.2的规定执行。</w:t>
      </w:r>
    </w:p>
    <w:p w14:paraId="2168B958">
      <w:pPr>
        <w:pStyle w:val="190"/>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表8.2.2 高延弹超薄罩面的施工过程质量控制要求</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985"/>
        <w:gridCol w:w="1571"/>
        <w:gridCol w:w="1851"/>
        <w:gridCol w:w="1574"/>
        <w:gridCol w:w="1355"/>
      </w:tblGrid>
      <w:tr w14:paraId="4CE44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vMerge w:val="restart"/>
            <w:shd w:val="clear" w:color="auto" w:fill="auto"/>
            <w:vAlign w:val="center"/>
          </w:tcPr>
          <w:p w14:paraId="1FFB5E39">
            <w:pPr>
              <w:pStyle w:val="192"/>
              <w:rPr>
                <w:rFonts w:hint="default" w:ascii="Times New Roman" w:hAnsi="Times New Roman" w:cs="Times New Roman"/>
                <w:spacing w:val="-2"/>
              </w:rPr>
            </w:pPr>
            <w:r>
              <w:rPr>
                <w:rFonts w:hint="default" w:ascii="Times New Roman" w:hAnsi="Times New Roman" w:cs="Times New Roman"/>
                <w:spacing w:val="-2"/>
              </w:rPr>
              <w:t>项目</w:t>
            </w:r>
          </w:p>
        </w:tc>
        <w:tc>
          <w:tcPr>
            <w:tcW w:w="942" w:type="pct"/>
            <w:vMerge w:val="restart"/>
            <w:shd w:val="clear" w:color="auto" w:fill="auto"/>
            <w:vAlign w:val="center"/>
          </w:tcPr>
          <w:p w14:paraId="095A666F">
            <w:pPr>
              <w:pStyle w:val="192"/>
              <w:rPr>
                <w:rFonts w:hint="default" w:ascii="Times New Roman" w:hAnsi="Times New Roman" w:cs="Times New Roman"/>
                <w:spacing w:val="-2"/>
              </w:rPr>
            </w:pPr>
            <w:r>
              <w:rPr>
                <w:rFonts w:hint="default" w:ascii="Times New Roman" w:hAnsi="Times New Roman" w:cs="Times New Roman"/>
                <w:spacing w:val="-2"/>
              </w:rPr>
              <w:t>检查频率</w:t>
            </w:r>
          </w:p>
        </w:tc>
        <w:tc>
          <w:tcPr>
            <w:tcW w:w="2054" w:type="pct"/>
            <w:gridSpan w:val="2"/>
            <w:shd w:val="clear" w:color="auto" w:fill="auto"/>
            <w:vAlign w:val="center"/>
          </w:tcPr>
          <w:p w14:paraId="6C186CDD">
            <w:pPr>
              <w:pStyle w:val="192"/>
              <w:rPr>
                <w:rFonts w:hint="default" w:ascii="Times New Roman" w:hAnsi="Times New Roman" w:cs="Times New Roman"/>
                <w:spacing w:val="-2"/>
              </w:rPr>
            </w:pPr>
            <w:r>
              <w:rPr>
                <w:rFonts w:hint="default" w:ascii="Times New Roman" w:hAnsi="Times New Roman" w:cs="Times New Roman"/>
                <w:spacing w:val="-2"/>
              </w:rPr>
              <w:t>质量要求和容许偏差</w:t>
            </w:r>
          </w:p>
        </w:tc>
        <w:tc>
          <w:tcPr>
            <w:tcW w:w="813" w:type="pct"/>
            <w:vMerge w:val="restart"/>
            <w:shd w:val="clear" w:color="auto" w:fill="auto"/>
            <w:vAlign w:val="center"/>
          </w:tcPr>
          <w:p w14:paraId="00155180">
            <w:pPr>
              <w:pStyle w:val="192"/>
              <w:rPr>
                <w:rFonts w:hint="default" w:ascii="Times New Roman" w:hAnsi="Times New Roman" w:cs="Times New Roman"/>
                <w:spacing w:val="-2"/>
              </w:rPr>
            </w:pPr>
            <w:r>
              <w:rPr>
                <w:rFonts w:hint="default" w:ascii="Times New Roman" w:hAnsi="Times New Roman" w:cs="Times New Roman"/>
                <w:spacing w:val="-2"/>
              </w:rPr>
              <w:t>试验方法</w:t>
            </w:r>
          </w:p>
        </w:tc>
      </w:tr>
      <w:tr w14:paraId="3B840B25">
        <w:tblPrEx>
          <w:tblCellMar>
            <w:top w:w="0" w:type="dxa"/>
            <w:left w:w="0" w:type="dxa"/>
            <w:bottom w:w="0" w:type="dxa"/>
            <w:right w:w="0" w:type="dxa"/>
          </w:tblCellMar>
        </w:tblPrEx>
        <w:trPr>
          <w:trHeight w:val="20" w:hRule="atLeast"/>
          <w:jc w:val="center"/>
        </w:trPr>
        <w:tc>
          <w:tcPr>
            <w:tcW w:w="1191" w:type="pct"/>
            <w:vMerge w:val="continue"/>
            <w:shd w:val="clear" w:color="auto" w:fill="auto"/>
            <w:vAlign w:val="center"/>
          </w:tcPr>
          <w:p w14:paraId="6DAB1F02">
            <w:pPr>
              <w:pStyle w:val="192"/>
              <w:rPr>
                <w:rFonts w:hint="default" w:ascii="Times New Roman" w:hAnsi="Times New Roman" w:cs="Times New Roman"/>
                <w:spacing w:val="-2"/>
              </w:rPr>
            </w:pPr>
          </w:p>
        </w:tc>
        <w:tc>
          <w:tcPr>
            <w:tcW w:w="942" w:type="pct"/>
            <w:vMerge w:val="continue"/>
            <w:shd w:val="clear" w:color="auto" w:fill="auto"/>
            <w:vAlign w:val="center"/>
          </w:tcPr>
          <w:p w14:paraId="58D1873C">
            <w:pPr>
              <w:pStyle w:val="192"/>
              <w:rPr>
                <w:rFonts w:hint="default" w:ascii="Times New Roman" w:hAnsi="Times New Roman" w:cs="Times New Roman"/>
                <w:spacing w:val="-2"/>
              </w:rPr>
            </w:pPr>
          </w:p>
        </w:tc>
        <w:tc>
          <w:tcPr>
            <w:tcW w:w="1110" w:type="pct"/>
            <w:tcBorders>
              <w:right w:val="single" w:color="auto" w:sz="4" w:space="0"/>
            </w:tcBorders>
            <w:shd w:val="clear" w:color="auto" w:fill="auto"/>
            <w:vAlign w:val="center"/>
          </w:tcPr>
          <w:p w14:paraId="793DFE35">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44" w:type="pct"/>
            <w:tcBorders>
              <w:left w:val="single" w:color="auto" w:sz="4" w:space="0"/>
            </w:tcBorders>
            <w:shd w:val="clear" w:color="auto" w:fill="auto"/>
            <w:vAlign w:val="center"/>
          </w:tcPr>
          <w:p w14:paraId="5A4E294B">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813" w:type="pct"/>
            <w:vMerge w:val="continue"/>
            <w:shd w:val="clear" w:color="auto" w:fill="auto"/>
            <w:vAlign w:val="center"/>
          </w:tcPr>
          <w:p w14:paraId="03930DC6">
            <w:pPr>
              <w:pStyle w:val="192"/>
              <w:rPr>
                <w:rFonts w:hint="default" w:ascii="Times New Roman" w:hAnsi="Times New Roman" w:cs="Times New Roman"/>
                <w:spacing w:val="-2"/>
              </w:rPr>
            </w:pPr>
          </w:p>
        </w:tc>
      </w:tr>
      <w:tr w14:paraId="688EA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shd w:val="clear" w:color="auto" w:fill="auto"/>
            <w:vAlign w:val="center"/>
          </w:tcPr>
          <w:p w14:paraId="53AC5658">
            <w:pPr>
              <w:pStyle w:val="192"/>
              <w:rPr>
                <w:rFonts w:hint="default" w:ascii="Times New Roman" w:hAnsi="Times New Roman" w:cs="Times New Roman"/>
                <w:spacing w:val="-2"/>
              </w:rPr>
            </w:pPr>
            <w:r>
              <w:rPr>
                <w:rFonts w:hint="default" w:ascii="Times New Roman" w:hAnsi="Times New Roman" w:cs="Times New Roman"/>
                <w:spacing w:val="-2"/>
              </w:rPr>
              <w:t>外观</w:t>
            </w:r>
          </w:p>
        </w:tc>
        <w:tc>
          <w:tcPr>
            <w:tcW w:w="942" w:type="pct"/>
            <w:shd w:val="clear" w:color="auto" w:fill="auto"/>
            <w:vAlign w:val="center"/>
          </w:tcPr>
          <w:p w14:paraId="157947E3">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68C781BD">
            <w:pPr>
              <w:pStyle w:val="192"/>
              <w:rPr>
                <w:rFonts w:hint="default" w:ascii="Times New Roman" w:hAnsi="Times New Roman" w:cs="Times New Roman"/>
                <w:spacing w:val="-2"/>
              </w:rPr>
            </w:pPr>
            <w:r>
              <w:rPr>
                <w:rFonts w:hint="default" w:ascii="Times New Roman" w:hAnsi="Times New Roman" w:cs="Times New Roman"/>
                <w:spacing w:val="-2"/>
              </w:rPr>
              <w:t>表面平整、没有明显轮迹、裂缝、推挤、油包、离析等</w:t>
            </w:r>
          </w:p>
        </w:tc>
        <w:tc>
          <w:tcPr>
            <w:tcW w:w="813" w:type="pct"/>
            <w:shd w:val="clear" w:color="auto" w:fill="auto"/>
            <w:vAlign w:val="center"/>
          </w:tcPr>
          <w:p w14:paraId="48C92B4B">
            <w:pPr>
              <w:pStyle w:val="192"/>
              <w:rPr>
                <w:rFonts w:hint="default" w:ascii="Times New Roman" w:hAnsi="Times New Roman" w:cs="Times New Roman"/>
                <w:spacing w:val="-2"/>
              </w:rPr>
            </w:pPr>
            <w:r>
              <w:rPr>
                <w:rFonts w:hint="default" w:ascii="Times New Roman" w:hAnsi="Times New Roman" w:cs="Times New Roman"/>
                <w:spacing w:val="-2"/>
              </w:rPr>
              <w:t>目测</w:t>
            </w:r>
          </w:p>
        </w:tc>
      </w:tr>
      <w:tr w14:paraId="6441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vMerge w:val="restart"/>
            <w:shd w:val="clear" w:color="auto" w:fill="auto"/>
            <w:vAlign w:val="center"/>
          </w:tcPr>
          <w:p w14:paraId="443D0F10">
            <w:pPr>
              <w:pStyle w:val="192"/>
              <w:rPr>
                <w:rFonts w:hint="default" w:ascii="Times New Roman" w:hAnsi="Times New Roman" w:cs="Times New Roman"/>
                <w:spacing w:val="-2"/>
              </w:rPr>
            </w:pPr>
            <w:r>
              <w:rPr>
                <w:rFonts w:hint="default" w:ascii="Times New Roman" w:hAnsi="Times New Roman" w:cs="Times New Roman"/>
                <w:spacing w:val="-2"/>
              </w:rPr>
              <w:t>接缝</w:t>
            </w:r>
          </w:p>
        </w:tc>
        <w:tc>
          <w:tcPr>
            <w:tcW w:w="942" w:type="pct"/>
            <w:shd w:val="clear" w:color="auto" w:fill="auto"/>
            <w:vAlign w:val="center"/>
          </w:tcPr>
          <w:p w14:paraId="7577B68B">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0CA2FB9E">
            <w:pPr>
              <w:pStyle w:val="192"/>
              <w:rPr>
                <w:rFonts w:hint="default" w:ascii="Times New Roman" w:hAnsi="Times New Roman" w:cs="Times New Roman"/>
                <w:spacing w:val="-2"/>
              </w:rPr>
            </w:pPr>
            <w:r>
              <w:rPr>
                <w:rFonts w:hint="default" w:ascii="Times New Roman" w:hAnsi="Times New Roman" w:cs="Times New Roman"/>
                <w:spacing w:val="-2"/>
              </w:rPr>
              <w:t>紧密、平整顺直、无跳车</w:t>
            </w:r>
          </w:p>
        </w:tc>
        <w:tc>
          <w:tcPr>
            <w:tcW w:w="813" w:type="pct"/>
            <w:shd w:val="clear" w:color="auto" w:fill="auto"/>
            <w:vAlign w:val="center"/>
          </w:tcPr>
          <w:p w14:paraId="639B9F75">
            <w:pPr>
              <w:pStyle w:val="192"/>
              <w:rPr>
                <w:rFonts w:hint="default" w:ascii="Times New Roman" w:hAnsi="Times New Roman" w:cs="Times New Roman"/>
                <w:spacing w:val="-2"/>
              </w:rPr>
            </w:pPr>
            <w:r>
              <w:rPr>
                <w:rFonts w:hint="default" w:ascii="Times New Roman" w:hAnsi="Times New Roman" w:cs="Times New Roman"/>
                <w:spacing w:val="-2"/>
              </w:rPr>
              <w:t>目测</w:t>
            </w:r>
          </w:p>
        </w:tc>
      </w:tr>
      <w:tr w14:paraId="53D59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vMerge w:val="continue"/>
            <w:shd w:val="clear" w:color="auto" w:fill="auto"/>
            <w:vAlign w:val="center"/>
          </w:tcPr>
          <w:p w14:paraId="3586ED02">
            <w:pPr>
              <w:pStyle w:val="192"/>
              <w:rPr>
                <w:rFonts w:hint="default" w:ascii="Times New Roman" w:hAnsi="Times New Roman" w:cs="Times New Roman"/>
                <w:spacing w:val="-2"/>
              </w:rPr>
            </w:pPr>
          </w:p>
        </w:tc>
        <w:tc>
          <w:tcPr>
            <w:tcW w:w="942" w:type="pct"/>
            <w:shd w:val="clear" w:color="auto" w:fill="auto"/>
            <w:vAlign w:val="center"/>
          </w:tcPr>
          <w:p w14:paraId="143F3527">
            <w:pPr>
              <w:pStyle w:val="192"/>
              <w:rPr>
                <w:rFonts w:hint="default" w:ascii="Times New Roman" w:hAnsi="Times New Roman" w:cs="Times New Roman"/>
                <w:spacing w:val="-2"/>
              </w:rPr>
            </w:pPr>
            <w:r>
              <w:rPr>
                <w:rFonts w:hint="default" w:ascii="Times New Roman" w:hAnsi="Times New Roman" w:cs="Times New Roman"/>
                <w:spacing w:val="-2"/>
              </w:rPr>
              <w:t>逐条缝检测评定</w:t>
            </w:r>
          </w:p>
        </w:tc>
        <w:tc>
          <w:tcPr>
            <w:tcW w:w="1110" w:type="pct"/>
            <w:tcBorders>
              <w:right w:val="single" w:color="auto" w:sz="4" w:space="0"/>
            </w:tcBorders>
            <w:shd w:val="clear" w:color="auto" w:fill="auto"/>
            <w:vAlign w:val="center"/>
          </w:tcPr>
          <w:p w14:paraId="57E6E153">
            <w:pPr>
              <w:pStyle w:val="192"/>
              <w:rPr>
                <w:rFonts w:hint="default" w:ascii="Times New Roman" w:hAnsi="Times New Roman" w:cs="Times New Roman"/>
                <w:spacing w:val="-2"/>
              </w:rPr>
            </w:pPr>
            <w:r>
              <w:rPr>
                <w:rFonts w:hint="default" w:ascii="Times New Roman" w:hAnsi="Times New Roman" w:cs="Times New Roman"/>
                <w:spacing w:val="-2"/>
              </w:rPr>
              <w:t>3mm</w:t>
            </w:r>
          </w:p>
        </w:tc>
        <w:tc>
          <w:tcPr>
            <w:tcW w:w="944" w:type="pct"/>
            <w:tcBorders>
              <w:left w:val="single" w:color="auto" w:sz="4" w:space="0"/>
            </w:tcBorders>
            <w:shd w:val="clear" w:color="auto" w:fill="auto"/>
            <w:vAlign w:val="center"/>
          </w:tcPr>
          <w:p w14:paraId="4F5F03EB">
            <w:pPr>
              <w:pStyle w:val="192"/>
              <w:rPr>
                <w:rFonts w:hint="default" w:ascii="Times New Roman" w:hAnsi="Times New Roman" w:cs="Times New Roman"/>
                <w:spacing w:val="-2"/>
              </w:rPr>
            </w:pPr>
            <w:r>
              <w:rPr>
                <w:rFonts w:hint="default" w:ascii="Times New Roman" w:hAnsi="Times New Roman" w:cs="Times New Roman"/>
                <w:spacing w:val="-2"/>
              </w:rPr>
              <w:t>5mm</w:t>
            </w:r>
          </w:p>
        </w:tc>
        <w:tc>
          <w:tcPr>
            <w:tcW w:w="813" w:type="pct"/>
            <w:shd w:val="clear" w:color="auto" w:fill="auto"/>
            <w:vAlign w:val="center"/>
          </w:tcPr>
          <w:p w14:paraId="0B263540">
            <w:pPr>
              <w:pStyle w:val="192"/>
              <w:rPr>
                <w:rFonts w:hint="default" w:ascii="Times New Roman" w:hAnsi="Times New Roman" w:cs="Times New Roman"/>
                <w:spacing w:val="-2"/>
              </w:rPr>
            </w:pPr>
            <w:r>
              <w:rPr>
                <w:rFonts w:hint="default" w:ascii="Times New Roman" w:hAnsi="Times New Roman" w:cs="Times New Roman"/>
                <w:spacing w:val="-2"/>
              </w:rPr>
              <w:t>T0931</w:t>
            </w:r>
          </w:p>
        </w:tc>
      </w:tr>
      <w:tr w14:paraId="57617065">
        <w:tblPrEx>
          <w:tblCellMar>
            <w:top w:w="0" w:type="dxa"/>
            <w:left w:w="0" w:type="dxa"/>
            <w:bottom w:w="0" w:type="dxa"/>
            <w:right w:w="0" w:type="dxa"/>
          </w:tblCellMar>
        </w:tblPrEx>
        <w:trPr>
          <w:trHeight w:val="20" w:hRule="atLeast"/>
          <w:jc w:val="center"/>
        </w:trPr>
        <w:tc>
          <w:tcPr>
            <w:tcW w:w="1191" w:type="pct"/>
            <w:shd w:val="clear" w:color="auto" w:fill="auto"/>
            <w:vAlign w:val="center"/>
          </w:tcPr>
          <w:p w14:paraId="449FF63F">
            <w:pPr>
              <w:pStyle w:val="192"/>
              <w:rPr>
                <w:rFonts w:hint="default" w:ascii="Times New Roman" w:hAnsi="Times New Roman" w:cs="Times New Roman"/>
                <w:spacing w:val="-2"/>
              </w:rPr>
            </w:pPr>
            <w:r>
              <w:rPr>
                <w:rFonts w:hint="default" w:ascii="Times New Roman" w:hAnsi="Times New Roman" w:cs="Times New Roman"/>
                <w:spacing w:val="-2"/>
              </w:rPr>
              <w:t>摊铺温度</w:t>
            </w:r>
          </w:p>
        </w:tc>
        <w:tc>
          <w:tcPr>
            <w:tcW w:w="942" w:type="pct"/>
            <w:shd w:val="clear" w:color="auto" w:fill="auto"/>
            <w:vAlign w:val="center"/>
          </w:tcPr>
          <w:p w14:paraId="47B6B7F0">
            <w:pPr>
              <w:pStyle w:val="192"/>
              <w:rPr>
                <w:rFonts w:hint="default" w:ascii="Times New Roman" w:hAnsi="Times New Roman" w:cs="Times New Roman"/>
                <w:spacing w:val="-2"/>
              </w:rPr>
            </w:pPr>
            <w:r>
              <w:rPr>
                <w:rFonts w:hint="default" w:ascii="Times New Roman" w:hAnsi="Times New Roman" w:cs="Times New Roman"/>
                <w:spacing w:val="-2"/>
              </w:rPr>
              <w:t>每车</w:t>
            </w:r>
          </w:p>
        </w:tc>
        <w:tc>
          <w:tcPr>
            <w:tcW w:w="2054" w:type="pct"/>
            <w:gridSpan w:val="2"/>
            <w:shd w:val="clear" w:color="auto" w:fill="auto"/>
            <w:vAlign w:val="center"/>
          </w:tcPr>
          <w:p w14:paraId="47BB3EFD">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14:paraId="756C50B7">
            <w:pPr>
              <w:pStyle w:val="192"/>
              <w:rPr>
                <w:rFonts w:hint="default" w:ascii="Times New Roman" w:hAnsi="Times New Roman" w:cs="Times New Roman"/>
                <w:spacing w:val="-2"/>
              </w:rPr>
            </w:pPr>
            <w:r>
              <w:rPr>
                <w:rFonts w:hint="default" w:ascii="Times New Roman" w:hAnsi="Times New Roman" w:cs="Times New Roman"/>
                <w:spacing w:val="-2"/>
              </w:rPr>
              <w:t>T0981</w:t>
            </w:r>
          </w:p>
        </w:tc>
      </w:tr>
      <w:tr w14:paraId="2D3C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shd w:val="clear" w:color="auto" w:fill="auto"/>
            <w:vAlign w:val="center"/>
          </w:tcPr>
          <w:p w14:paraId="5021AC88">
            <w:pPr>
              <w:pStyle w:val="192"/>
              <w:rPr>
                <w:rFonts w:hint="default" w:ascii="Times New Roman" w:hAnsi="Times New Roman" w:cs="Times New Roman"/>
                <w:spacing w:val="-2"/>
              </w:rPr>
            </w:pPr>
            <w:r>
              <w:rPr>
                <w:rFonts w:hint="default" w:ascii="Times New Roman" w:hAnsi="Times New Roman" w:cs="Times New Roman"/>
                <w:spacing w:val="-2"/>
              </w:rPr>
              <w:t>压实温度</w:t>
            </w:r>
          </w:p>
        </w:tc>
        <w:tc>
          <w:tcPr>
            <w:tcW w:w="942" w:type="pct"/>
            <w:shd w:val="clear" w:color="auto" w:fill="auto"/>
            <w:vAlign w:val="center"/>
          </w:tcPr>
          <w:p w14:paraId="36E4AF14">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7E1D6BA7">
            <w:pPr>
              <w:pStyle w:val="192"/>
              <w:rPr>
                <w:rFonts w:hint="default" w:ascii="Times New Roman" w:hAnsi="Times New Roman" w:cs="Times New Roman"/>
                <w:spacing w:val="-2"/>
              </w:rPr>
            </w:pPr>
            <w:r>
              <w:rPr>
                <w:rFonts w:hint="default" w:ascii="Times New Roman" w:hAnsi="Times New Roman" w:cs="Times New Roman"/>
                <w:spacing w:val="-2"/>
              </w:rPr>
              <w:t>符合本规程规定</w:t>
            </w:r>
          </w:p>
        </w:tc>
        <w:tc>
          <w:tcPr>
            <w:tcW w:w="813" w:type="pct"/>
            <w:shd w:val="clear" w:color="auto" w:fill="auto"/>
            <w:vAlign w:val="center"/>
          </w:tcPr>
          <w:p w14:paraId="49B7DA42">
            <w:pPr>
              <w:pStyle w:val="192"/>
              <w:rPr>
                <w:rFonts w:hint="default" w:ascii="Times New Roman" w:hAnsi="Times New Roman" w:cs="Times New Roman"/>
                <w:spacing w:val="-2"/>
              </w:rPr>
            </w:pPr>
            <w:r>
              <w:rPr>
                <w:rFonts w:hint="default" w:ascii="Times New Roman" w:hAnsi="Times New Roman" w:cs="Times New Roman"/>
                <w:spacing w:val="-2"/>
              </w:rPr>
              <w:t>插入式温度计实测</w:t>
            </w:r>
          </w:p>
        </w:tc>
      </w:tr>
      <w:tr w14:paraId="64D85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1191" w:type="pct"/>
            <w:shd w:val="clear" w:color="auto" w:fill="auto"/>
            <w:vAlign w:val="center"/>
          </w:tcPr>
          <w:p w14:paraId="13AC8EEA">
            <w:pPr>
              <w:pStyle w:val="192"/>
              <w:rPr>
                <w:rFonts w:hint="default" w:ascii="Times New Roman" w:hAnsi="Times New Roman" w:cs="Times New Roman"/>
                <w:spacing w:val="-2"/>
              </w:rPr>
            </w:pPr>
            <w:r>
              <w:rPr>
                <w:rFonts w:hint="default" w:ascii="Times New Roman" w:hAnsi="Times New Roman" w:cs="Times New Roman"/>
                <w:spacing w:val="-2"/>
              </w:rPr>
              <w:t>厚度</w:t>
            </w:r>
          </w:p>
        </w:tc>
        <w:tc>
          <w:tcPr>
            <w:tcW w:w="942" w:type="pct"/>
            <w:shd w:val="clear" w:color="auto" w:fill="auto"/>
            <w:vAlign w:val="center"/>
          </w:tcPr>
          <w:p w14:paraId="5DF36186">
            <w:pPr>
              <w:pStyle w:val="192"/>
              <w:rPr>
                <w:rFonts w:hint="default" w:ascii="Times New Roman" w:hAnsi="Times New Roman" w:cs="Times New Roman"/>
                <w:spacing w:val="-2"/>
              </w:rPr>
            </w:pPr>
            <w:r>
              <w:rPr>
                <w:rFonts w:hint="default" w:ascii="Times New Roman" w:hAnsi="Times New Roman" w:cs="Times New Roman"/>
                <w:spacing w:val="-2"/>
              </w:rPr>
              <w:t>随时，5个断面/km，每个断面测3点</w:t>
            </w:r>
          </w:p>
        </w:tc>
        <w:tc>
          <w:tcPr>
            <w:tcW w:w="2054" w:type="pct"/>
            <w:gridSpan w:val="2"/>
            <w:shd w:val="clear" w:color="auto" w:fill="auto"/>
            <w:vAlign w:val="center"/>
          </w:tcPr>
          <w:p w14:paraId="5CF14C90">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813" w:type="pct"/>
            <w:shd w:val="clear" w:color="auto" w:fill="auto"/>
            <w:vAlign w:val="center"/>
          </w:tcPr>
          <w:p w14:paraId="301305F5">
            <w:pPr>
              <w:pStyle w:val="192"/>
              <w:rPr>
                <w:rFonts w:hint="default" w:ascii="Times New Roman" w:hAnsi="Times New Roman" w:cs="Times New Roman"/>
                <w:spacing w:val="-2"/>
              </w:rPr>
            </w:pPr>
            <w:r>
              <w:rPr>
                <w:rFonts w:hint="default" w:ascii="Times New Roman" w:hAnsi="Times New Roman" w:cs="Times New Roman"/>
                <w:spacing w:val="-2"/>
              </w:rPr>
              <w:t>T0912</w:t>
            </w:r>
          </w:p>
        </w:tc>
      </w:tr>
      <w:tr w14:paraId="31F6ED68">
        <w:tblPrEx>
          <w:tblCellMar>
            <w:top w:w="0" w:type="dxa"/>
            <w:left w:w="0" w:type="dxa"/>
            <w:bottom w:w="0" w:type="dxa"/>
            <w:right w:w="0" w:type="dxa"/>
          </w:tblCellMar>
        </w:tblPrEx>
        <w:trPr>
          <w:trHeight w:val="20" w:hRule="atLeast"/>
          <w:jc w:val="center"/>
        </w:trPr>
        <w:tc>
          <w:tcPr>
            <w:tcW w:w="1191" w:type="pct"/>
            <w:shd w:val="clear" w:color="auto" w:fill="auto"/>
            <w:vAlign w:val="center"/>
          </w:tcPr>
          <w:p w14:paraId="5949B718">
            <w:pPr>
              <w:pStyle w:val="192"/>
              <w:rPr>
                <w:rFonts w:hint="default" w:ascii="Times New Roman" w:hAnsi="Times New Roman" w:cs="Times New Roman"/>
                <w:spacing w:val="-2"/>
              </w:rPr>
            </w:pPr>
            <w:r>
              <w:rPr>
                <w:rFonts w:hint="default" w:ascii="Times New Roman" w:hAnsi="Times New Roman" w:cs="Times New Roman"/>
                <w:spacing w:val="-2"/>
              </w:rPr>
              <w:t>宽度</w:t>
            </w:r>
          </w:p>
        </w:tc>
        <w:tc>
          <w:tcPr>
            <w:tcW w:w="942" w:type="pct"/>
            <w:shd w:val="clear" w:color="auto" w:fill="auto"/>
            <w:vAlign w:val="center"/>
          </w:tcPr>
          <w:p w14:paraId="7C02017C">
            <w:pPr>
              <w:pStyle w:val="192"/>
              <w:rPr>
                <w:rFonts w:hint="default" w:ascii="Times New Roman" w:hAnsi="Times New Roman" w:cs="Times New Roman"/>
                <w:spacing w:val="-2"/>
              </w:rPr>
            </w:pPr>
            <w:r>
              <w:rPr>
                <w:rFonts w:hint="default" w:ascii="Times New Roman" w:hAnsi="Times New Roman" w:cs="Times New Roman"/>
                <w:spacing w:val="-2"/>
              </w:rPr>
              <w:t>随时</w:t>
            </w:r>
          </w:p>
        </w:tc>
        <w:tc>
          <w:tcPr>
            <w:tcW w:w="2054" w:type="pct"/>
            <w:gridSpan w:val="2"/>
            <w:shd w:val="clear" w:color="auto" w:fill="auto"/>
            <w:vAlign w:val="center"/>
          </w:tcPr>
          <w:p w14:paraId="73FFF638">
            <w:pPr>
              <w:pStyle w:val="192"/>
              <w:rPr>
                <w:rFonts w:hint="default" w:ascii="Times New Roman" w:hAnsi="Times New Roman" w:cs="Times New Roman"/>
                <w:spacing w:val="-2"/>
              </w:rPr>
            </w:pPr>
            <w:r>
              <w:rPr>
                <w:rFonts w:hint="default" w:ascii="Times New Roman" w:hAnsi="Times New Roman" w:cs="Times New Roman"/>
                <w:spacing w:val="-2"/>
              </w:rPr>
              <w:t>不小于设计宽度</w:t>
            </w:r>
          </w:p>
        </w:tc>
        <w:tc>
          <w:tcPr>
            <w:tcW w:w="813" w:type="pct"/>
            <w:shd w:val="clear" w:color="auto" w:fill="auto"/>
            <w:vAlign w:val="center"/>
          </w:tcPr>
          <w:p w14:paraId="3D95AC11">
            <w:pPr>
              <w:pStyle w:val="192"/>
              <w:rPr>
                <w:rFonts w:hint="default" w:ascii="Times New Roman" w:hAnsi="Times New Roman" w:cs="Times New Roman"/>
                <w:spacing w:val="-2"/>
              </w:rPr>
            </w:pPr>
            <w:r>
              <w:rPr>
                <w:rFonts w:hint="default" w:ascii="Times New Roman" w:hAnsi="Times New Roman" w:cs="Times New Roman"/>
                <w:spacing w:val="-2"/>
              </w:rPr>
              <w:t>T0911</w:t>
            </w:r>
          </w:p>
        </w:tc>
      </w:tr>
    </w:tbl>
    <w:p w14:paraId="2B19DD71">
      <w:pPr>
        <w:pStyle w:val="49"/>
        <w:numPr>
          <w:ilvl w:val="1"/>
          <w:numId w:val="17"/>
        </w:numPr>
        <w:spacing w:beforeLines="0" w:afterLines="0" w:line="360" w:lineRule="auto"/>
        <w:ind w:left="709"/>
        <w:outlineLvl w:val="1"/>
        <w:rPr>
          <w:rFonts w:hint="default" w:ascii="Times New Roman" w:hAnsi="Times New Roman" w:cs="Times New Roman"/>
          <w:sz w:val="24"/>
        </w:rPr>
      </w:pPr>
      <w:bookmarkStart w:id="82" w:name="_Toc171517490"/>
      <w:bookmarkStart w:id="83" w:name="_Toc31491"/>
      <w:bookmarkStart w:id="84" w:name="_Toc179636674"/>
      <w:r>
        <w:rPr>
          <w:rFonts w:hint="default" w:ascii="Times New Roman" w:hAnsi="Times New Roman" w:cs="Times New Roman"/>
          <w:sz w:val="24"/>
        </w:rPr>
        <w:t>工程验收</w:t>
      </w:r>
      <w:bookmarkEnd w:id="82"/>
      <w:bookmarkEnd w:id="83"/>
      <w:bookmarkEnd w:id="84"/>
    </w:p>
    <w:p w14:paraId="1A50FEDC">
      <w:pPr>
        <w:numPr>
          <w:ilvl w:val="2"/>
          <w:numId w:val="17"/>
        </w:numPr>
        <w:spacing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高延弹超薄罩面的工程验收应符合表8.3.1的规定。</w:t>
      </w:r>
    </w:p>
    <w:p w14:paraId="304E0A5A">
      <w:pPr>
        <w:pStyle w:val="19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表8.3.1 高延弹超薄罩面的工程验收</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215"/>
        <w:gridCol w:w="1249"/>
        <w:gridCol w:w="1109"/>
        <w:gridCol w:w="1664"/>
        <w:gridCol w:w="1525"/>
        <w:gridCol w:w="1574"/>
      </w:tblGrid>
      <w:tr w14:paraId="73A34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1477" w:type="pct"/>
            <w:gridSpan w:val="2"/>
            <w:vMerge w:val="restart"/>
            <w:shd w:val="clear" w:color="auto" w:fill="auto"/>
            <w:vAlign w:val="center"/>
          </w:tcPr>
          <w:p w14:paraId="34F16FFA">
            <w:pPr>
              <w:pStyle w:val="192"/>
              <w:rPr>
                <w:rFonts w:hint="default" w:ascii="Times New Roman" w:hAnsi="Times New Roman" w:cs="Times New Roman"/>
                <w:spacing w:val="-2"/>
              </w:rPr>
            </w:pPr>
            <w:r>
              <w:rPr>
                <w:rFonts w:hint="default" w:ascii="Times New Roman" w:hAnsi="Times New Roman" w:cs="Times New Roman"/>
                <w:spacing w:val="-2"/>
              </w:rPr>
              <w:t>检测项目</w:t>
            </w:r>
          </w:p>
        </w:tc>
        <w:tc>
          <w:tcPr>
            <w:tcW w:w="665" w:type="pct"/>
            <w:vMerge w:val="restart"/>
            <w:shd w:val="clear" w:color="auto" w:fill="auto"/>
            <w:vAlign w:val="center"/>
          </w:tcPr>
          <w:p w14:paraId="2D619BB8">
            <w:pPr>
              <w:pStyle w:val="192"/>
              <w:rPr>
                <w:rFonts w:hint="default" w:ascii="Times New Roman" w:hAnsi="Times New Roman" w:cs="Times New Roman"/>
                <w:spacing w:val="-2"/>
              </w:rPr>
            </w:pPr>
            <w:r>
              <w:rPr>
                <w:rFonts w:hint="default" w:ascii="Times New Roman" w:hAnsi="Times New Roman" w:cs="Times New Roman"/>
                <w:spacing w:val="-2"/>
              </w:rPr>
              <w:t>检测频率</w:t>
            </w:r>
          </w:p>
        </w:tc>
        <w:tc>
          <w:tcPr>
            <w:tcW w:w="1913" w:type="pct"/>
            <w:gridSpan w:val="2"/>
            <w:shd w:val="clear" w:color="auto" w:fill="auto"/>
            <w:vAlign w:val="center"/>
          </w:tcPr>
          <w:p w14:paraId="149FA9C7">
            <w:pPr>
              <w:pStyle w:val="192"/>
              <w:rPr>
                <w:rFonts w:hint="default" w:ascii="Times New Roman" w:hAnsi="Times New Roman" w:cs="Times New Roman"/>
                <w:spacing w:val="-2"/>
              </w:rPr>
            </w:pPr>
            <w:r>
              <w:rPr>
                <w:rFonts w:hint="default" w:ascii="Times New Roman" w:hAnsi="Times New Roman" w:cs="Times New Roman"/>
                <w:spacing w:val="-2"/>
              </w:rPr>
              <w:t>质量要求或允许偏差</w:t>
            </w:r>
          </w:p>
        </w:tc>
        <w:tc>
          <w:tcPr>
            <w:tcW w:w="944" w:type="pct"/>
            <w:vMerge w:val="restart"/>
            <w:shd w:val="clear" w:color="auto" w:fill="auto"/>
            <w:vAlign w:val="center"/>
          </w:tcPr>
          <w:p w14:paraId="4C40F928">
            <w:pPr>
              <w:pStyle w:val="192"/>
              <w:rPr>
                <w:rFonts w:hint="default" w:ascii="Times New Roman" w:hAnsi="Times New Roman" w:cs="Times New Roman"/>
                <w:spacing w:val="-2"/>
              </w:rPr>
            </w:pPr>
            <w:r>
              <w:rPr>
                <w:rFonts w:hint="default" w:ascii="Times New Roman" w:hAnsi="Times New Roman" w:cs="Times New Roman"/>
                <w:spacing w:val="-2"/>
              </w:rPr>
              <w:t>检测方法</w:t>
            </w:r>
          </w:p>
        </w:tc>
      </w:tr>
      <w:tr w14:paraId="6598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1477" w:type="pct"/>
            <w:gridSpan w:val="2"/>
            <w:vMerge w:val="continue"/>
            <w:shd w:val="clear" w:color="auto" w:fill="auto"/>
            <w:vAlign w:val="center"/>
          </w:tcPr>
          <w:p w14:paraId="58EABD8E">
            <w:pPr>
              <w:pStyle w:val="192"/>
              <w:rPr>
                <w:rFonts w:hint="default" w:ascii="Times New Roman" w:hAnsi="Times New Roman" w:cs="Times New Roman"/>
                <w:spacing w:val="-2"/>
              </w:rPr>
            </w:pPr>
          </w:p>
        </w:tc>
        <w:tc>
          <w:tcPr>
            <w:tcW w:w="665" w:type="pct"/>
            <w:vMerge w:val="continue"/>
            <w:shd w:val="clear" w:color="auto" w:fill="auto"/>
            <w:vAlign w:val="center"/>
          </w:tcPr>
          <w:p w14:paraId="4076E074">
            <w:pPr>
              <w:pStyle w:val="192"/>
              <w:rPr>
                <w:rFonts w:hint="default" w:ascii="Times New Roman" w:hAnsi="Times New Roman" w:cs="Times New Roman"/>
                <w:spacing w:val="-2"/>
              </w:rPr>
            </w:pPr>
          </w:p>
        </w:tc>
        <w:tc>
          <w:tcPr>
            <w:tcW w:w="998" w:type="pct"/>
            <w:shd w:val="clear" w:color="auto" w:fill="auto"/>
            <w:vAlign w:val="center"/>
          </w:tcPr>
          <w:p w14:paraId="2B8DA340">
            <w:pPr>
              <w:pStyle w:val="192"/>
              <w:rPr>
                <w:rFonts w:hint="default" w:ascii="Times New Roman" w:hAnsi="Times New Roman" w:cs="Times New Roman"/>
                <w:spacing w:val="-2"/>
              </w:rPr>
            </w:pPr>
            <w:r>
              <w:rPr>
                <w:rFonts w:hint="default" w:ascii="Times New Roman" w:hAnsi="Times New Roman" w:cs="Times New Roman"/>
                <w:spacing w:val="-2"/>
              </w:rPr>
              <w:t>高速及一级公路</w:t>
            </w:r>
          </w:p>
        </w:tc>
        <w:tc>
          <w:tcPr>
            <w:tcW w:w="915" w:type="pct"/>
            <w:shd w:val="clear" w:color="auto" w:fill="auto"/>
            <w:vAlign w:val="center"/>
          </w:tcPr>
          <w:p w14:paraId="73BC914F">
            <w:pPr>
              <w:pStyle w:val="192"/>
              <w:rPr>
                <w:rFonts w:hint="default" w:ascii="Times New Roman" w:hAnsi="Times New Roman" w:cs="Times New Roman"/>
                <w:spacing w:val="-2"/>
              </w:rPr>
            </w:pPr>
            <w:r>
              <w:rPr>
                <w:rFonts w:hint="default" w:ascii="Times New Roman" w:hAnsi="Times New Roman" w:cs="Times New Roman"/>
                <w:spacing w:val="-2"/>
              </w:rPr>
              <w:t>其他等级公路</w:t>
            </w:r>
          </w:p>
        </w:tc>
        <w:tc>
          <w:tcPr>
            <w:tcW w:w="944" w:type="pct"/>
            <w:vMerge w:val="continue"/>
            <w:shd w:val="clear" w:color="auto" w:fill="auto"/>
            <w:vAlign w:val="center"/>
          </w:tcPr>
          <w:p w14:paraId="241F7358">
            <w:pPr>
              <w:pStyle w:val="192"/>
              <w:rPr>
                <w:rFonts w:hint="default" w:ascii="Times New Roman" w:hAnsi="Times New Roman" w:cs="Times New Roman"/>
                <w:spacing w:val="-2"/>
              </w:rPr>
            </w:pPr>
          </w:p>
        </w:tc>
      </w:tr>
      <w:tr w14:paraId="1F639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restart"/>
            <w:shd w:val="clear" w:color="auto" w:fill="auto"/>
            <w:vAlign w:val="center"/>
          </w:tcPr>
          <w:p w14:paraId="3089FE27">
            <w:pPr>
              <w:pStyle w:val="192"/>
              <w:rPr>
                <w:rFonts w:hint="default" w:ascii="Times New Roman" w:hAnsi="Times New Roman" w:cs="Times New Roman"/>
                <w:spacing w:val="-2"/>
              </w:rPr>
            </w:pPr>
            <w:r>
              <w:rPr>
                <w:rFonts w:hint="default" w:ascii="Times New Roman" w:hAnsi="Times New Roman" w:cs="Times New Roman"/>
                <w:spacing w:val="-2"/>
              </w:rPr>
              <w:t>平整度*</w:t>
            </w:r>
          </w:p>
        </w:tc>
        <w:tc>
          <w:tcPr>
            <w:tcW w:w="749" w:type="pct"/>
            <w:shd w:val="clear" w:color="auto" w:fill="auto"/>
            <w:vAlign w:val="center"/>
          </w:tcPr>
          <w:p w14:paraId="38E7DE15">
            <w:pPr>
              <w:pStyle w:val="192"/>
              <w:rPr>
                <w:rFonts w:hint="default" w:ascii="Times New Roman" w:hAnsi="Times New Roman" w:cs="Times New Roman"/>
                <w:spacing w:val="-2"/>
              </w:rPr>
            </w:pPr>
            <w:r>
              <w:rPr>
                <w:rFonts w:hint="default" w:ascii="Times New Roman" w:hAnsi="Times New Roman" w:cs="Times New Roman"/>
                <w:spacing w:val="-2"/>
              </w:rPr>
              <w:t>σ（mm）</w:t>
            </w:r>
          </w:p>
        </w:tc>
        <w:tc>
          <w:tcPr>
            <w:tcW w:w="665" w:type="pct"/>
            <w:vMerge w:val="restart"/>
            <w:shd w:val="clear" w:color="auto" w:fill="auto"/>
            <w:vAlign w:val="center"/>
          </w:tcPr>
          <w:p w14:paraId="323FA325">
            <w:pPr>
              <w:pStyle w:val="192"/>
              <w:rPr>
                <w:rFonts w:hint="default" w:ascii="Times New Roman" w:hAnsi="Times New Roman" w:cs="Times New Roman"/>
                <w:spacing w:val="-2"/>
              </w:rPr>
            </w:pPr>
            <w:r>
              <w:rPr>
                <w:rFonts w:hint="default" w:ascii="Times New Roman" w:hAnsi="Times New Roman" w:cs="Times New Roman"/>
                <w:spacing w:val="-2"/>
              </w:rPr>
              <w:t>连续检测</w:t>
            </w:r>
          </w:p>
        </w:tc>
        <w:tc>
          <w:tcPr>
            <w:tcW w:w="998" w:type="pct"/>
            <w:shd w:val="clear" w:color="auto" w:fill="auto"/>
            <w:vAlign w:val="center"/>
          </w:tcPr>
          <w:p w14:paraId="4E62A246">
            <w:pPr>
              <w:pStyle w:val="192"/>
              <w:rPr>
                <w:rFonts w:hint="default" w:ascii="Times New Roman" w:hAnsi="Times New Roman" w:cs="Times New Roman"/>
                <w:spacing w:val="-2"/>
              </w:rPr>
            </w:pPr>
            <w:r>
              <w:rPr>
                <w:rFonts w:hint="default" w:ascii="Times New Roman" w:hAnsi="Times New Roman" w:cs="Times New Roman"/>
                <w:spacing w:val="-2"/>
              </w:rPr>
              <w:t>≤1.5</w:t>
            </w:r>
          </w:p>
        </w:tc>
        <w:tc>
          <w:tcPr>
            <w:tcW w:w="915" w:type="pct"/>
            <w:shd w:val="clear" w:color="auto" w:fill="auto"/>
            <w:vAlign w:val="center"/>
          </w:tcPr>
          <w:p w14:paraId="38F83D7C">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944" w:type="pct"/>
            <w:vMerge w:val="restart"/>
            <w:shd w:val="clear" w:color="auto" w:fill="auto"/>
            <w:vAlign w:val="center"/>
          </w:tcPr>
          <w:p w14:paraId="265B80A9">
            <w:pPr>
              <w:pStyle w:val="192"/>
              <w:rPr>
                <w:rFonts w:hint="default" w:ascii="Times New Roman" w:hAnsi="Times New Roman" w:cs="Times New Roman"/>
                <w:spacing w:val="-2"/>
              </w:rPr>
            </w:pPr>
            <w:r>
              <w:rPr>
                <w:rFonts w:hint="default" w:ascii="Times New Roman" w:hAnsi="Times New Roman" w:cs="Times New Roman"/>
                <w:spacing w:val="-2"/>
              </w:rPr>
              <w:t>T0932或T0934</w:t>
            </w:r>
          </w:p>
        </w:tc>
      </w:tr>
      <w:tr w14:paraId="11CC4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continue"/>
            <w:shd w:val="clear" w:color="auto" w:fill="auto"/>
            <w:vAlign w:val="center"/>
          </w:tcPr>
          <w:p w14:paraId="4AFA2B00">
            <w:pPr>
              <w:pStyle w:val="192"/>
              <w:rPr>
                <w:rFonts w:hint="default" w:ascii="Times New Roman" w:hAnsi="Times New Roman" w:cs="Times New Roman"/>
                <w:spacing w:val="-2"/>
              </w:rPr>
            </w:pPr>
          </w:p>
        </w:tc>
        <w:tc>
          <w:tcPr>
            <w:tcW w:w="749" w:type="pct"/>
            <w:shd w:val="clear" w:color="auto" w:fill="auto"/>
            <w:vAlign w:val="center"/>
          </w:tcPr>
          <w:p w14:paraId="7A506C2C">
            <w:pPr>
              <w:pStyle w:val="192"/>
              <w:rPr>
                <w:rFonts w:hint="default" w:ascii="Times New Roman" w:hAnsi="Times New Roman" w:cs="Times New Roman"/>
                <w:spacing w:val="-2"/>
              </w:rPr>
            </w:pPr>
            <w:r>
              <w:rPr>
                <w:rFonts w:hint="default" w:ascii="Times New Roman" w:hAnsi="Times New Roman" w:cs="Times New Roman"/>
                <w:spacing w:val="-2"/>
              </w:rPr>
              <w:t>IRI（m/km）</w:t>
            </w:r>
          </w:p>
        </w:tc>
        <w:tc>
          <w:tcPr>
            <w:tcW w:w="665" w:type="pct"/>
            <w:vMerge w:val="continue"/>
            <w:shd w:val="clear" w:color="auto" w:fill="auto"/>
            <w:vAlign w:val="center"/>
          </w:tcPr>
          <w:p w14:paraId="7A52D7A1">
            <w:pPr>
              <w:pStyle w:val="192"/>
              <w:rPr>
                <w:rFonts w:hint="default" w:ascii="Times New Roman" w:hAnsi="Times New Roman" w:cs="Times New Roman"/>
                <w:spacing w:val="-2"/>
              </w:rPr>
            </w:pPr>
          </w:p>
        </w:tc>
        <w:tc>
          <w:tcPr>
            <w:tcW w:w="998" w:type="pct"/>
            <w:shd w:val="clear" w:color="auto" w:fill="auto"/>
            <w:vAlign w:val="center"/>
          </w:tcPr>
          <w:p w14:paraId="5727413C">
            <w:pPr>
              <w:pStyle w:val="192"/>
              <w:rPr>
                <w:rFonts w:hint="default" w:ascii="Times New Roman" w:hAnsi="Times New Roman" w:cs="Times New Roman"/>
                <w:spacing w:val="-2"/>
              </w:rPr>
            </w:pPr>
            <w:r>
              <w:rPr>
                <w:rFonts w:hint="default" w:ascii="Times New Roman" w:hAnsi="Times New Roman" w:cs="Times New Roman"/>
                <w:spacing w:val="-2"/>
              </w:rPr>
              <w:t>≤2.5</w:t>
            </w:r>
          </w:p>
        </w:tc>
        <w:tc>
          <w:tcPr>
            <w:tcW w:w="915" w:type="pct"/>
            <w:shd w:val="clear" w:color="auto" w:fill="auto"/>
            <w:vAlign w:val="center"/>
          </w:tcPr>
          <w:p w14:paraId="17FE7D7B">
            <w:pPr>
              <w:pStyle w:val="192"/>
              <w:rPr>
                <w:rFonts w:hint="default" w:ascii="Times New Roman" w:hAnsi="Times New Roman" w:cs="Times New Roman"/>
                <w:spacing w:val="-2"/>
              </w:rPr>
            </w:pPr>
            <w:r>
              <w:rPr>
                <w:rFonts w:hint="default" w:ascii="Times New Roman" w:hAnsi="Times New Roman" w:cs="Times New Roman"/>
                <w:spacing w:val="-2"/>
              </w:rPr>
              <w:t>≤4.2</w:t>
            </w:r>
          </w:p>
        </w:tc>
        <w:tc>
          <w:tcPr>
            <w:tcW w:w="944" w:type="pct"/>
            <w:vMerge w:val="continue"/>
            <w:shd w:val="clear" w:color="auto" w:fill="auto"/>
            <w:vAlign w:val="center"/>
          </w:tcPr>
          <w:p w14:paraId="192093A1">
            <w:pPr>
              <w:pStyle w:val="192"/>
              <w:rPr>
                <w:rFonts w:hint="default" w:ascii="Times New Roman" w:hAnsi="Times New Roman" w:cs="Times New Roman"/>
                <w:spacing w:val="-2"/>
              </w:rPr>
            </w:pPr>
          </w:p>
        </w:tc>
      </w:tr>
      <w:tr w14:paraId="3BFB7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restart"/>
            <w:shd w:val="clear" w:color="auto" w:fill="auto"/>
            <w:vAlign w:val="center"/>
          </w:tcPr>
          <w:p w14:paraId="64CAD2B5">
            <w:pPr>
              <w:pStyle w:val="192"/>
              <w:rPr>
                <w:rFonts w:hint="default" w:ascii="Times New Roman" w:hAnsi="Times New Roman" w:cs="Times New Roman"/>
                <w:spacing w:val="-2"/>
              </w:rPr>
            </w:pPr>
            <w:r>
              <w:rPr>
                <w:rFonts w:hint="default" w:ascii="Times New Roman" w:hAnsi="Times New Roman" w:cs="Times New Roman"/>
                <w:spacing w:val="-2"/>
              </w:rPr>
              <w:t>厚度（mm）</w:t>
            </w:r>
          </w:p>
        </w:tc>
        <w:tc>
          <w:tcPr>
            <w:tcW w:w="749" w:type="pct"/>
            <w:shd w:val="clear" w:color="auto" w:fill="auto"/>
            <w:vAlign w:val="center"/>
          </w:tcPr>
          <w:p w14:paraId="54026250">
            <w:pPr>
              <w:pStyle w:val="192"/>
              <w:rPr>
                <w:rFonts w:hint="default" w:ascii="Times New Roman" w:hAnsi="Times New Roman" w:cs="Times New Roman"/>
                <w:spacing w:val="-2"/>
              </w:rPr>
            </w:pPr>
            <w:r>
              <w:rPr>
                <w:rFonts w:hint="default" w:ascii="Times New Roman" w:hAnsi="Times New Roman" w:cs="Times New Roman"/>
                <w:spacing w:val="-2"/>
              </w:rPr>
              <w:t>均值</w:t>
            </w:r>
          </w:p>
        </w:tc>
        <w:tc>
          <w:tcPr>
            <w:tcW w:w="665" w:type="pct"/>
            <w:vMerge w:val="restart"/>
            <w:shd w:val="clear" w:color="auto" w:fill="auto"/>
            <w:vAlign w:val="center"/>
          </w:tcPr>
          <w:p w14:paraId="7A827ADD">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14:paraId="7AB06E63">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vMerge w:val="restart"/>
            <w:shd w:val="clear" w:color="auto" w:fill="auto"/>
            <w:vAlign w:val="center"/>
          </w:tcPr>
          <w:p w14:paraId="5D87C0C7">
            <w:pPr>
              <w:pStyle w:val="192"/>
              <w:rPr>
                <w:rFonts w:hint="default" w:ascii="Times New Roman" w:hAnsi="Times New Roman" w:cs="Times New Roman"/>
                <w:spacing w:val="-2"/>
              </w:rPr>
            </w:pPr>
            <w:r>
              <w:rPr>
                <w:rFonts w:hint="default" w:ascii="Times New Roman" w:hAnsi="Times New Roman" w:cs="Times New Roman"/>
                <w:spacing w:val="-2"/>
              </w:rPr>
              <w:t xml:space="preserve">T0912 </w:t>
            </w:r>
          </w:p>
        </w:tc>
      </w:tr>
      <w:tr w14:paraId="505B4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continue"/>
            <w:shd w:val="clear" w:color="auto" w:fill="auto"/>
            <w:vAlign w:val="center"/>
          </w:tcPr>
          <w:p w14:paraId="38789A20">
            <w:pPr>
              <w:pStyle w:val="192"/>
              <w:rPr>
                <w:rFonts w:hint="default" w:ascii="Times New Roman" w:hAnsi="Times New Roman" w:cs="Times New Roman"/>
                <w:spacing w:val="-2"/>
              </w:rPr>
            </w:pPr>
          </w:p>
        </w:tc>
        <w:tc>
          <w:tcPr>
            <w:tcW w:w="749" w:type="pct"/>
            <w:shd w:val="clear" w:color="auto" w:fill="auto"/>
            <w:vAlign w:val="center"/>
          </w:tcPr>
          <w:p w14:paraId="05BD9B84">
            <w:pPr>
              <w:pStyle w:val="192"/>
              <w:rPr>
                <w:rFonts w:hint="default" w:ascii="Times New Roman" w:hAnsi="Times New Roman" w:cs="Times New Roman"/>
                <w:spacing w:val="-2"/>
              </w:rPr>
            </w:pPr>
            <w:r>
              <w:rPr>
                <w:rFonts w:hint="default" w:ascii="Times New Roman" w:hAnsi="Times New Roman" w:cs="Times New Roman"/>
                <w:spacing w:val="-2"/>
              </w:rPr>
              <w:t>代表值</w:t>
            </w:r>
          </w:p>
        </w:tc>
        <w:tc>
          <w:tcPr>
            <w:tcW w:w="665" w:type="pct"/>
            <w:vMerge w:val="continue"/>
            <w:shd w:val="clear" w:color="auto" w:fill="auto"/>
            <w:vAlign w:val="center"/>
          </w:tcPr>
          <w:p w14:paraId="5603BAEB">
            <w:pPr>
              <w:pStyle w:val="192"/>
              <w:rPr>
                <w:rFonts w:hint="default" w:ascii="Times New Roman" w:hAnsi="Times New Roman" w:cs="Times New Roman"/>
                <w:spacing w:val="-2"/>
              </w:rPr>
            </w:pPr>
          </w:p>
        </w:tc>
        <w:tc>
          <w:tcPr>
            <w:tcW w:w="1913" w:type="pct"/>
            <w:gridSpan w:val="2"/>
            <w:shd w:val="clear" w:color="auto" w:fill="auto"/>
            <w:vAlign w:val="center"/>
          </w:tcPr>
          <w:p w14:paraId="6826AA67">
            <w:pPr>
              <w:pStyle w:val="192"/>
              <w:rPr>
                <w:rFonts w:hint="default" w:ascii="Times New Roman" w:hAnsi="Times New Roman" w:cs="Times New Roman"/>
                <w:spacing w:val="-2"/>
              </w:rPr>
            </w:pPr>
            <w:r>
              <w:rPr>
                <w:rFonts w:hint="default" w:ascii="Times New Roman" w:hAnsi="Times New Roman" w:cs="Times New Roman"/>
                <w:spacing w:val="-2"/>
              </w:rPr>
              <w:t>设计厚度-10%</w:t>
            </w:r>
          </w:p>
        </w:tc>
        <w:tc>
          <w:tcPr>
            <w:tcW w:w="944" w:type="pct"/>
            <w:vMerge w:val="continue"/>
            <w:shd w:val="clear" w:color="auto" w:fill="auto"/>
            <w:vAlign w:val="center"/>
          </w:tcPr>
          <w:p w14:paraId="2E6413E0">
            <w:pPr>
              <w:pStyle w:val="192"/>
              <w:rPr>
                <w:rFonts w:hint="default" w:ascii="Times New Roman" w:hAnsi="Times New Roman" w:cs="Times New Roman"/>
                <w:spacing w:val="-2"/>
              </w:rPr>
            </w:pPr>
          </w:p>
        </w:tc>
      </w:tr>
      <w:tr w14:paraId="153D7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1477" w:type="pct"/>
            <w:gridSpan w:val="2"/>
            <w:shd w:val="clear" w:color="auto" w:fill="auto"/>
            <w:vAlign w:val="center"/>
          </w:tcPr>
          <w:p w14:paraId="38751BD6">
            <w:pPr>
              <w:pStyle w:val="192"/>
              <w:rPr>
                <w:rFonts w:hint="default" w:ascii="Times New Roman" w:hAnsi="Times New Roman" w:cs="Times New Roman"/>
                <w:spacing w:val="-2"/>
              </w:rPr>
            </w:pPr>
            <w:r>
              <w:rPr>
                <w:rFonts w:hint="default" w:ascii="Times New Roman" w:hAnsi="Times New Roman" w:cs="Times New Roman"/>
                <w:spacing w:val="-2"/>
              </w:rPr>
              <w:t>宽度（mm）</w:t>
            </w:r>
          </w:p>
        </w:tc>
        <w:tc>
          <w:tcPr>
            <w:tcW w:w="665" w:type="pct"/>
            <w:shd w:val="clear" w:color="auto" w:fill="auto"/>
            <w:vAlign w:val="center"/>
          </w:tcPr>
          <w:p w14:paraId="7FB9A872">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14:paraId="1080171A">
            <w:pPr>
              <w:pStyle w:val="192"/>
              <w:rPr>
                <w:rFonts w:hint="default" w:ascii="Times New Roman" w:hAnsi="Times New Roman" w:cs="Times New Roman"/>
                <w:spacing w:val="-2"/>
              </w:rPr>
            </w:pPr>
            <w:r>
              <w:rPr>
                <w:rFonts w:hint="default" w:ascii="Times New Roman" w:hAnsi="Times New Roman" w:cs="Times New Roman"/>
                <w:spacing w:val="-2"/>
              </w:rPr>
              <w:t>不小于设计值</w:t>
            </w:r>
          </w:p>
        </w:tc>
        <w:tc>
          <w:tcPr>
            <w:tcW w:w="944" w:type="pct"/>
            <w:shd w:val="clear" w:color="auto" w:fill="auto"/>
            <w:vAlign w:val="center"/>
          </w:tcPr>
          <w:p w14:paraId="1D02F353">
            <w:pPr>
              <w:pStyle w:val="192"/>
              <w:rPr>
                <w:rFonts w:hint="default" w:ascii="Times New Roman" w:hAnsi="Times New Roman" w:cs="Times New Roman"/>
                <w:spacing w:val="-2"/>
              </w:rPr>
            </w:pPr>
            <w:r>
              <w:rPr>
                <w:rFonts w:hint="default" w:ascii="Times New Roman" w:hAnsi="Times New Roman" w:cs="Times New Roman"/>
                <w:spacing w:val="-2"/>
              </w:rPr>
              <w:t>T0911</w:t>
            </w:r>
          </w:p>
        </w:tc>
      </w:tr>
      <w:tr w14:paraId="4C692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restart"/>
            <w:shd w:val="clear" w:color="auto" w:fill="auto"/>
            <w:vAlign w:val="center"/>
          </w:tcPr>
          <w:p w14:paraId="5890AF1F">
            <w:pPr>
              <w:pStyle w:val="192"/>
              <w:rPr>
                <w:rFonts w:hint="default" w:ascii="Times New Roman" w:hAnsi="Times New Roman" w:cs="Times New Roman"/>
                <w:spacing w:val="-2"/>
              </w:rPr>
            </w:pPr>
            <w:r>
              <w:rPr>
                <w:rFonts w:hint="default" w:ascii="Times New Roman" w:hAnsi="Times New Roman" w:cs="Times New Roman"/>
                <w:spacing w:val="-2"/>
              </w:rPr>
              <w:t>抗滑性能</w:t>
            </w:r>
          </w:p>
        </w:tc>
        <w:tc>
          <w:tcPr>
            <w:tcW w:w="749" w:type="pct"/>
            <w:shd w:val="clear" w:color="auto" w:fill="auto"/>
            <w:vAlign w:val="center"/>
          </w:tcPr>
          <w:p w14:paraId="419B0B35">
            <w:pPr>
              <w:pStyle w:val="192"/>
              <w:rPr>
                <w:rFonts w:hint="default" w:ascii="Times New Roman" w:hAnsi="Times New Roman" w:cs="Times New Roman"/>
                <w:spacing w:val="-2"/>
              </w:rPr>
            </w:pPr>
            <w:r>
              <w:rPr>
                <w:rFonts w:hint="default" w:ascii="Times New Roman" w:hAnsi="Times New Roman" w:cs="Times New Roman"/>
                <w:spacing w:val="-2"/>
              </w:rPr>
              <w:t>摆值F</w:t>
            </w:r>
            <w:r>
              <w:rPr>
                <w:rFonts w:hint="default" w:ascii="Times New Roman" w:hAnsi="Times New Roman" w:cs="Times New Roman"/>
                <w:spacing w:val="-2"/>
                <w:vertAlign w:val="subscript"/>
              </w:rPr>
              <w:t>b</w:t>
            </w:r>
          </w:p>
        </w:tc>
        <w:tc>
          <w:tcPr>
            <w:tcW w:w="665" w:type="pct"/>
            <w:vMerge w:val="restart"/>
            <w:shd w:val="clear" w:color="auto" w:fill="auto"/>
            <w:vAlign w:val="center"/>
          </w:tcPr>
          <w:p w14:paraId="7409CD03">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998" w:type="pct"/>
            <w:tcBorders>
              <w:bottom w:val="single" w:color="auto" w:sz="4" w:space="0"/>
            </w:tcBorders>
            <w:shd w:val="clear" w:color="auto" w:fill="auto"/>
            <w:vAlign w:val="center"/>
          </w:tcPr>
          <w:p w14:paraId="370AE759">
            <w:pPr>
              <w:pStyle w:val="192"/>
              <w:rPr>
                <w:rFonts w:hint="default" w:ascii="Times New Roman" w:hAnsi="Times New Roman" w:cs="Times New Roman"/>
                <w:spacing w:val="-2"/>
              </w:rPr>
            </w:pPr>
            <w:r>
              <w:rPr>
                <w:rFonts w:hint="default" w:ascii="Times New Roman" w:hAnsi="Times New Roman" w:cs="Times New Roman"/>
                <w:spacing w:val="-2"/>
              </w:rPr>
              <w:t>≥52</w:t>
            </w:r>
          </w:p>
        </w:tc>
        <w:tc>
          <w:tcPr>
            <w:tcW w:w="915" w:type="pct"/>
            <w:vMerge w:val="restart"/>
            <w:shd w:val="clear" w:color="auto" w:fill="auto"/>
            <w:vAlign w:val="center"/>
          </w:tcPr>
          <w:p w14:paraId="385A1387">
            <w:pPr>
              <w:pStyle w:val="192"/>
              <w:rPr>
                <w:rFonts w:hint="default" w:ascii="Times New Roman" w:hAnsi="Times New Roman" w:cs="Times New Roman"/>
                <w:spacing w:val="-2"/>
              </w:rPr>
            </w:pPr>
            <w:r>
              <w:rPr>
                <w:rFonts w:hint="default" w:ascii="Times New Roman" w:hAnsi="Times New Roman" w:cs="Times New Roman"/>
                <w:spacing w:val="-2"/>
              </w:rPr>
              <w:t>符合设计要求</w:t>
            </w:r>
          </w:p>
        </w:tc>
        <w:tc>
          <w:tcPr>
            <w:tcW w:w="944" w:type="pct"/>
            <w:shd w:val="clear" w:color="auto" w:fill="auto"/>
            <w:vAlign w:val="center"/>
          </w:tcPr>
          <w:p w14:paraId="72AC05D8">
            <w:pPr>
              <w:pStyle w:val="192"/>
              <w:rPr>
                <w:rFonts w:hint="default" w:ascii="Times New Roman" w:hAnsi="Times New Roman" w:cs="Times New Roman"/>
                <w:spacing w:val="-2"/>
              </w:rPr>
            </w:pPr>
            <w:r>
              <w:rPr>
                <w:rFonts w:hint="default" w:ascii="Times New Roman" w:hAnsi="Times New Roman" w:cs="Times New Roman"/>
                <w:spacing w:val="-2"/>
              </w:rPr>
              <w:t>T0964</w:t>
            </w:r>
          </w:p>
        </w:tc>
      </w:tr>
      <w:tr w14:paraId="25738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continue"/>
            <w:shd w:val="clear" w:color="auto" w:fill="auto"/>
            <w:vAlign w:val="center"/>
          </w:tcPr>
          <w:p w14:paraId="7A062ED9">
            <w:pPr>
              <w:pStyle w:val="192"/>
              <w:rPr>
                <w:rFonts w:hint="default" w:ascii="Times New Roman" w:hAnsi="Times New Roman" w:cs="Times New Roman"/>
                <w:spacing w:val="-2"/>
              </w:rPr>
            </w:pPr>
          </w:p>
        </w:tc>
        <w:tc>
          <w:tcPr>
            <w:tcW w:w="749" w:type="pct"/>
            <w:shd w:val="clear" w:color="auto" w:fill="auto"/>
            <w:vAlign w:val="center"/>
          </w:tcPr>
          <w:p w14:paraId="5A4041DA">
            <w:pPr>
              <w:pStyle w:val="192"/>
              <w:rPr>
                <w:rFonts w:hint="default" w:ascii="Times New Roman" w:hAnsi="Times New Roman" w:cs="Times New Roman"/>
                <w:spacing w:val="-2"/>
              </w:rPr>
            </w:pPr>
            <w:r>
              <w:rPr>
                <w:rFonts w:hint="default" w:ascii="Times New Roman" w:hAnsi="Times New Roman" w:cs="Times New Roman"/>
                <w:spacing w:val="-2"/>
              </w:rPr>
              <w:t>横向力系数</w:t>
            </w:r>
          </w:p>
        </w:tc>
        <w:tc>
          <w:tcPr>
            <w:tcW w:w="665" w:type="pct"/>
            <w:vMerge w:val="continue"/>
            <w:shd w:val="clear" w:color="auto" w:fill="auto"/>
            <w:vAlign w:val="center"/>
          </w:tcPr>
          <w:p w14:paraId="6E2B2E52">
            <w:pPr>
              <w:pStyle w:val="192"/>
              <w:rPr>
                <w:rFonts w:hint="default" w:ascii="Times New Roman" w:hAnsi="Times New Roman" w:cs="Times New Roman"/>
                <w:spacing w:val="-2"/>
              </w:rPr>
            </w:pPr>
          </w:p>
        </w:tc>
        <w:tc>
          <w:tcPr>
            <w:tcW w:w="998" w:type="pct"/>
            <w:tcBorders>
              <w:top w:val="single" w:color="auto" w:sz="4" w:space="0"/>
            </w:tcBorders>
            <w:shd w:val="clear" w:color="auto" w:fill="auto"/>
            <w:vAlign w:val="center"/>
          </w:tcPr>
          <w:p w14:paraId="099CEFBC">
            <w:pPr>
              <w:pStyle w:val="192"/>
              <w:rPr>
                <w:rFonts w:hint="default" w:ascii="Times New Roman" w:hAnsi="Times New Roman" w:cs="Times New Roman"/>
                <w:spacing w:val="-2"/>
              </w:rPr>
            </w:pPr>
            <w:r>
              <w:rPr>
                <w:rFonts w:hint="default" w:ascii="Times New Roman" w:hAnsi="Times New Roman" w:cs="Times New Roman"/>
                <w:spacing w:val="-2"/>
              </w:rPr>
              <w:t>≥54</w:t>
            </w:r>
          </w:p>
        </w:tc>
        <w:tc>
          <w:tcPr>
            <w:tcW w:w="915" w:type="pct"/>
            <w:vMerge w:val="continue"/>
            <w:shd w:val="clear" w:color="auto" w:fill="auto"/>
            <w:vAlign w:val="center"/>
          </w:tcPr>
          <w:p w14:paraId="64A5C128">
            <w:pPr>
              <w:pStyle w:val="192"/>
              <w:rPr>
                <w:rFonts w:hint="default" w:ascii="Times New Roman" w:hAnsi="Times New Roman" w:cs="Times New Roman"/>
                <w:spacing w:val="-2"/>
              </w:rPr>
            </w:pPr>
          </w:p>
        </w:tc>
        <w:tc>
          <w:tcPr>
            <w:tcW w:w="944" w:type="pct"/>
            <w:shd w:val="clear" w:color="auto" w:fill="auto"/>
            <w:vAlign w:val="center"/>
          </w:tcPr>
          <w:p w14:paraId="45F00EC5">
            <w:pPr>
              <w:pStyle w:val="192"/>
              <w:rPr>
                <w:rFonts w:hint="default" w:ascii="Times New Roman" w:hAnsi="Times New Roman" w:cs="Times New Roman"/>
                <w:spacing w:val="-2"/>
              </w:rPr>
            </w:pPr>
            <w:r>
              <w:rPr>
                <w:rFonts w:hint="default" w:ascii="Times New Roman" w:hAnsi="Times New Roman" w:cs="Times New Roman"/>
                <w:spacing w:val="-2"/>
              </w:rPr>
              <w:t>T0965或T0967</w:t>
            </w:r>
          </w:p>
        </w:tc>
      </w:tr>
      <w:tr w14:paraId="73078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729" w:type="pct"/>
            <w:vMerge w:val="continue"/>
            <w:shd w:val="clear" w:color="auto" w:fill="auto"/>
            <w:vAlign w:val="center"/>
          </w:tcPr>
          <w:p w14:paraId="5B829066">
            <w:pPr>
              <w:pStyle w:val="192"/>
              <w:rPr>
                <w:rFonts w:hint="default" w:ascii="Times New Roman" w:hAnsi="Times New Roman" w:cs="Times New Roman"/>
                <w:spacing w:val="-2"/>
              </w:rPr>
            </w:pPr>
          </w:p>
        </w:tc>
        <w:tc>
          <w:tcPr>
            <w:tcW w:w="749" w:type="pct"/>
            <w:shd w:val="clear" w:color="auto" w:fill="auto"/>
            <w:vAlign w:val="center"/>
          </w:tcPr>
          <w:p w14:paraId="3AEA7332">
            <w:pPr>
              <w:pStyle w:val="192"/>
              <w:rPr>
                <w:rFonts w:hint="default" w:ascii="Times New Roman" w:hAnsi="Times New Roman" w:cs="Times New Roman"/>
                <w:spacing w:val="-2"/>
              </w:rPr>
            </w:pPr>
            <w:r>
              <w:rPr>
                <w:rFonts w:hint="default" w:ascii="Times New Roman" w:hAnsi="Times New Roman" w:cs="Times New Roman"/>
                <w:spacing w:val="-2"/>
              </w:rPr>
              <w:t>构造深度</w:t>
            </w:r>
          </w:p>
        </w:tc>
        <w:tc>
          <w:tcPr>
            <w:tcW w:w="665" w:type="pct"/>
            <w:vMerge w:val="continue"/>
            <w:shd w:val="clear" w:color="auto" w:fill="auto"/>
            <w:vAlign w:val="center"/>
          </w:tcPr>
          <w:p w14:paraId="4F520C58">
            <w:pPr>
              <w:pStyle w:val="192"/>
              <w:rPr>
                <w:rFonts w:hint="default" w:ascii="Times New Roman" w:hAnsi="Times New Roman" w:cs="Times New Roman"/>
                <w:spacing w:val="-2"/>
              </w:rPr>
            </w:pPr>
          </w:p>
        </w:tc>
        <w:tc>
          <w:tcPr>
            <w:tcW w:w="998" w:type="pct"/>
            <w:shd w:val="clear" w:color="auto" w:fill="auto"/>
            <w:vAlign w:val="center"/>
          </w:tcPr>
          <w:p w14:paraId="19B07B3D">
            <w:pPr>
              <w:pStyle w:val="192"/>
              <w:rPr>
                <w:rFonts w:hint="default" w:ascii="Times New Roman" w:hAnsi="Times New Roman" w:cs="Times New Roman"/>
                <w:spacing w:val="-2"/>
              </w:rPr>
            </w:pPr>
            <w:r>
              <w:rPr>
                <w:rFonts w:hint="default" w:ascii="Times New Roman" w:hAnsi="Times New Roman" w:cs="Times New Roman"/>
                <w:spacing w:val="-2"/>
              </w:rPr>
              <w:t>≥0.60</w:t>
            </w:r>
          </w:p>
        </w:tc>
        <w:tc>
          <w:tcPr>
            <w:tcW w:w="915" w:type="pct"/>
            <w:vMerge w:val="continue"/>
            <w:shd w:val="clear" w:color="auto" w:fill="auto"/>
            <w:vAlign w:val="center"/>
          </w:tcPr>
          <w:p w14:paraId="2274A2E3">
            <w:pPr>
              <w:pStyle w:val="192"/>
              <w:rPr>
                <w:rFonts w:hint="default" w:ascii="Times New Roman" w:hAnsi="Times New Roman" w:cs="Times New Roman"/>
                <w:spacing w:val="-2"/>
              </w:rPr>
            </w:pPr>
          </w:p>
        </w:tc>
        <w:tc>
          <w:tcPr>
            <w:tcW w:w="944" w:type="pct"/>
            <w:shd w:val="clear" w:color="auto" w:fill="auto"/>
            <w:vAlign w:val="center"/>
          </w:tcPr>
          <w:p w14:paraId="6F999C21">
            <w:pPr>
              <w:pStyle w:val="192"/>
              <w:rPr>
                <w:rFonts w:hint="default" w:ascii="Times New Roman" w:hAnsi="Times New Roman" w:cs="Times New Roman"/>
                <w:spacing w:val="-2"/>
              </w:rPr>
            </w:pPr>
            <w:r>
              <w:rPr>
                <w:rFonts w:hint="default" w:ascii="Times New Roman" w:hAnsi="Times New Roman" w:cs="Times New Roman"/>
                <w:spacing w:val="-2"/>
              </w:rPr>
              <w:t>T0961</w:t>
            </w:r>
          </w:p>
        </w:tc>
      </w:tr>
      <w:tr w14:paraId="71B62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1477" w:type="pct"/>
            <w:gridSpan w:val="2"/>
            <w:shd w:val="clear" w:color="auto" w:fill="auto"/>
            <w:vAlign w:val="center"/>
          </w:tcPr>
          <w:p w14:paraId="54272FDC">
            <w:pPr>
              <w:pStyle w:val="192"/>
              <w:rPr>
                <w:rFonts w:hint="default" w:ascii="Times New Roman" w:hAnsi="Times New Roman" w:cs="Times New Roman"/>
                <w:spacing w:val="-2"/>
              </w:rPr>
            </w:pPr>
            <w:r>
              <w:rPr>
                <w:rFonts w:hint="default" w:ascii="Times New Roman" w:hAnsi="Times New Roman" w:cs="Times New Roman"/>
                <w:spacing w:val="-2"/>
              </w:rPr>
              <w:t>渗水系数（mL/min）</w:t>
            </w:r>
          </w:p>
        </w:tc>
        <w:tc>
          <w:tcPr>
            <w:tcW w:w="665" w:type="pct"/>
            <w:shd w:val="clear" w:color="auto" w:fill="auto"/>
            <w:vAlign w:val="center"/>
          </w:tcPr>
          <w:p w14:paraId="7E63EFD9">
            <w:pPr>
              <w:pStyle w:val="192"/>
              <w:rPr>
                <w:rFonts w:hint="default" w:ascii="Times New Roman" w:hAnsi="Times New Roman" w:cs="Times New Roman"/>
                <w:spacing w:val="-2"/>
              </w:rPr>
            </w:pPr>
            <w:r>
              <w:rPr>
                <w:rFonts w:hint="default" w:ascii="Times New Roman" w:hAnsi="Times New Roman" w:cs="Times New Roman"/>
                <w:spacing w:val="-2"/>
              </w:rPr>
              <w:t>5个点/km</w:t>
            </w:r>
          </w:p>
        </w:tc>
        <w:tc>
          <w:tcPr>
            <w:tcW w:w="1913" w:type="pct"/>
            <w:gridSpan w:val="2"/>
            <w:shd w:val="clear" w:color="auto" w:fill="auto"/>
            <w:vAlign w:val="center"/>
          </w:tcPr>
          <w:p w14:paraId="5AF54B5F">
            <w:pPr>
              <w:pStyle w:val="192"/>
              <w:rPr>
                <w:rFonts w:hint="default" w:ascii="Times New Roman" w:hAnsi="Times New Roman" w:cs="Times New Roman"/>
                <w:spacing w:val="-2"/>
              </w:rPr>
            </w:pPr>
            <w:r>
              <w:rPr>
                <w:rFonts w:hint="default" w:ascii="Times New Roman" w:hAnsi="Times New Roman" w:cs="Times New Roman"/>
                <w:spacing w:val="-2"/>
              </w:rPr>
              <w:t>&gt;500</w:t>
            </w:r>
          </w:p>
        </w:tc>
        <w:tc>
          <w:tcPr>
            <w:tcW w:w="944" w:type="pct"/>
            <w:shd w:val="clear" w:color="auto" w:fill="auto"/>
            <w:vAlign w:val="center"/>
          </w:tcPr>
          <w:p w14:paraId="0F5958F3">
            <w:pPr>
              <w:pStyle w:val="192"/>
              <w:rPr>
                <w:rFonts w:hint="default" w:ascii="Times New Roman" w:hAnsi="Times New Roman" w:cs="Times New Roman"/>
                <w:spacing w:val="-2"/>
              </w:rPr>
            </w:pPr>
            <w:r>
              <w:rPr>
                <w:rFonts w:hint="default" w:ascii="Times New Roman" w:hAnsi="Times New Roman" w:cs="Times New Roman"/>
                <w:spacing w:val="-2"/>
              </w:rPr>
              <w:t>T0907</w:t>
            </w:r>
          </w:p>
        </w:tc>
      </w:tr>
    </w:tbl>
    <w:p w14:paraId="7C673D0E">
      <w:pPr>
        <w:tabs>
          <w:tab w:val="left" w:pos="993"/>
        </w:tabs>
        <w:spacing w:line="360" w:lineRule="auto"/>
        <w:ind w:left="426"/>
        <w:rPr>
          <w:rFonts w:hint="default" w:ascii="Times New Roman" w:hAnsi="Times New Roman" w:eastAsia="楷体" w:cs="Times New Roman"/>
          <w:kern w:val="0"/>
          <w:sz w:val="24"/>
        </w:rPr>
      </w:pPr>
      <w:r>
        <w:rPr>
          <w:rFonts w:hint="default" w:ascii="Times New Roman" w:hAnsi="Times New Roman" w:eastAsia="楷体" w:cs="Times New Roman"/>
          <w:sz w:val="24"/>
        </w:rPr>
        <w:t>*注：任选一个平整度检测指标，且与横向力系数指标均由建设单位确定是否检测。</w:t>
      </w:r>
    </w:p>
    <w:sectPr>
      <w:headerReference r:id="rId13" w:type="even"/>
      <w:type w:val="continuous"/>
      <w:pgSz w:w="11906" w:h="16838"/>
      <w:pgMar w:top="1440" w:right="1800" w:bottom="1440" w:left="1800" w:header="850" w:footer="992"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849712"/>
      <w:docPartObj>
        <w:docPartGallery w:val="autotext"/>
      </w:docPartObj>
    </w:sdtPr>
    <w:sdtContent>
      <w:p w14:paraId="49755CCA">
        <w:pPr>
          <w:pStyle w:val="23"/>
          <w:jc w:val="center"/>
        </w:pPr>
        <w:r>
          <w:fldChar w:fldCharType="begin"/>
        </w:r>
        <w:r>
          <w:instrText xml:space="preserve">PAGE   \* MERGEFORMAT</w:instrText>
        </w:r>
        <w:r>
          <w:fldChar w:fldCharType="separate"/>
        </w:r>
        <w:r>
          <w:rPr>
            <w:lang w:val="zh-CN"/>
          </w:rPr>
          <w:t>2</w:t>
        </w:r>
        <w:r>
          <w:fldChar w:fldCharType="end"/>
        </w:r>
      </w:p>
    </w:sdtContent>
  </w:sdt>
  <w:p w14:paraId="31A28ADA">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1957401"/>
      <w:docPartObj>
        <w:docPartGallery w:val="autotext"/>
      </w:docPartObj>
    </w:sdtPr>
    <w:sdtContent>
      <w:p w14:paraId="6AA9098C">
        <w:pPr>
          <w:pStyle w:val="23"/>
          <w:jc w:val="center"/>
        </w:pPr>
        <w:r>
          <w:fldChar w:fldCharType="begin"/>
        </w:r>
        <w:r>
          <w:instrText xml:space="preserve">PAGE   \* MERGEFORMAT</w:instrText>
        </w:r>
        <w:r>
          <w:fldChar w:fldCharType="separate"/>
        </w:r>
        <w:r>
          <w:rPr>
            <w:lang w:val="zh-CN"/>
          </w:rPr>
          <w:t>2</w:t>
        </w:r>
        <w:r>
          <w:fldChar w:fldCharType="end"/>
        </w:r>
      </w:p>
    </w:sdtContent>
  </w:sdt>
  <w:p w14:paraId="71E0406F">
    <w:pPr>
      <w:pStyle w:val="2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609967"/>
      <w:docPartObj>
        <w:docPartGallery w:val="autotext"/>
      </w:docPartObj>
    </w:sdtPr>
    <w:sdtContent>
      <w:p w14:paraId="02966C9C">
        <w:pPr>
          <w:pStyle w:val="23"/>
          <w:jc w:val="center"/>
        </w:pPr>
        <w:r>
          <w:fldChar w:fldCharType="begin"/>
        </w:r>
        <w:r>
          <w:instrText xml:space="preserve">PAGE   \* MERGEFORMAT</w:instrText>
        </w:r>
        <w:r>
          <w:fldChar w:fldCharType="separate"/>
        </w:r>
        <w:r>
          <w:rPr>
            <w:lang w:val="zh-CN"/>
          </w:rPr>
          <w:t>2</w:t>
        </w:r>
        <w:r>
          <w:fldChar w:fldCharType="end"/>
        </w:r>
      </w:p>
    </w:sdtContent>
  </w:sdt>
  <w:p w14:paraId="5FD13F97">
    <w:pPr>
      <w:pStyle w:val="23"/>
      <w:spacing w:before="240" w:after="24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692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C3B6">
    <w:pPr>
      <w:pStyle w:val="24"/>
      <w:pBdr>
        <w:bottom w:val="single" w:color="auto" w:sz="4" w:space="0"/>
      </w:pBdr>
    </w:pPr>
    <w:r>
      <w:rPr>
        <w:rFonts w:hint="eastAsia"/>
      </w:rPr>
      <w:t>高延弹超薄罩面施工技术指南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9D9E">
    <w:pPr>
      <w:pStyle w:val="24"/>
      <w:pBdr>
        <w:bottom w:val="single" w:color="auto" w:sz="4" w:space="1"/>
      </w:pBdr>
      <w:wordWrap w:val="0"/>
      <w:jc w:val="right"/>
    </w:pPr>
    <w:r>
      <w:rPr>
        <w:rFonts w:hint="eastAsia"/>
      </w:rPr>
      <w:t>2 规范性引用文件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6A3C">
    <w:pPr>
      <w:pStyle w:val="24"/>
      <w:pBdr>
        <w:bottom w:val="single" w:color="auto" w:sz="4" w:space="1"/>
      </w:pBdr>
      <w:wordWrap w:val="0"/>
      <w:jc w:val="right"/>
    </w:pPr>
    <w:r>
      <w:rPr>
        <w:rFonts w:hint="eastAsia"/>
      </w:rPr>
      <w:t>4 基本规定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3B42D">
    <w:pPr>
      <w:pStyle w:val="24"/>
      <w:pBdr>
        <w:bottom w:val="single" w:color="auto" w:sz="4" w:space="1"/>
      </w:pBdr>
      <w:wordWrap w:val="0"/>
      <w:jc w:val="right"/>
    </w:pPr>
    <w:r>
      <w:rPr>
        <w:rFonts w:hint="eastAsia"/>
      </w:rPr>
      <w:t>5 材料</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AAE8">
    <w:pPr>
      <w:pStyle w:val="24"/>
      <w:pBdr>
        <w:bottom w:val="single" w:color="auto" w:sz="4" w:space="1"/>
      </w:pBdr>
      <w:wordWrap w:val="0"/>
      <w:jc w:val="right"/>
    </w:pPr>
    <w:r>
      <w:rPr>
        <w:rFonts w:hint="eastAsia"/>
      </w:rPr>
      <w:t>6 高延弹混合料面设计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733B">
    <w:pPr>
      <w:pStyle w:val="24"/>
      <w:pBdr>
        <w:bottom w:val="single" w:color="auto" w:sz="4" w:space="1"/>
      </w:pBdr>
      <w:wordWrap w:val="0"/>
      <w:jc w:val="right"/>
    </w:pPr>
    <w:r>
      <w:rPr>
        <w:rFonts w:hint="eastAsia"/>
      </w:rPr>
      <w:t>7 施工</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F2FB">
    <w:pPr>
      <w:pStyle w:val="24"/>
      <w:pBdr>
        <w:bottom w:val="single" w:color="auto" w:sz="4" w:space="1"/>
      </w:pBdr>
      <w:wordWrap w:val="0"/>
      <w:jc w:val="right"/>
    </w:pPr>
    <w:r>
      <w:rPr>
        <w:rFonts w:hint="eastAsia"/>
      </w:rPr>
      <w:t>8 施工质量控制与检查验收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6E6F8F"/>
    <w:multiLevelType w:val="multilevel"/>
    <w:tmpl w:val="0D6E6F8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lvlText w:val="%1"/>
      <w:lvlJc w:val="left"/>
      <w:pPr>
        <w:ind w:left="425" w:hanging="425"/>
      </w:pPr>
      <w:rPr>
        <w:rFonts w:hint="default" w:ascii="Times New Roman" w:hAnsi="Times New Roman" w:cs="Times New Roman"/>
        <w:b/>
        <w:bCs w:val="0"/>
        <w:i w:val="0"/>
        <w:sz w:val="32"/>
        <w:szCs w:val="32"/>
      </w:rPr>
    </w:lvl>
    <w:lvl w:ilvl="1" w:tentative="0">
      <w:start w:val="1"/>
      <w:numFmt w:val="decimal"/>
      <w:lvlText w:val="%1.%2"/>
      <w:lvlJc w:val="left"/>
      <w:pPr>
        <w:ind w:left="992" w:hanging="567"/>
      </w:pPr>
      <w:rPr>
        <w:rFonts w:hint="default" w:ascii="Times New Roman" w:hAnsi="Times New Roman" w:cs="Times New Roman"/>
        <w:b/>
        <w:bCs/>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lvlText w:val="%1.%2.%3"/>
      <w:lvlJc w:val="left"/>
      <w:pPr>
        <w:ind w:left="1418" w:hanging="567"/>
      </w:pPr>
      <w:rPr>
        <w:rFonts w:hint="default" w:ascii="Times New Roman" w:hAnsi="Times New Roman" w:cs="Times New Roman"/>
        <w:b/>
        <w:bCs/>
        <w:i w:val="0"/>
        <w:sz w:val="24"/>
        <w:szCs w:val="22"/>
      </w:rPr>
    </w:lvl>
    <w:lvl w:ilvl="3" w:tentative="0">
      <w:start w:val="1"/>
      <w:numFmt w:val="decimal"/>
      <w:lvlText w:val="%1.%2.%3.%4"/>
      <w:lvlJc w:val="left"/>
      <w:pPr>
        <w:ind w:left="1984" w:hanging="708"/>
      </w:pPr>
      <w:rPr>
        <w:b w:val="0"/>
        <w:i w:val="0"/>
        <w:sz w:val="21"/>
      </w:rPr>
    </w:lvl>
    <w:lvl w:ilvl="4" w:tentative="0">
      <w:start w:val="1"/>
      <w:numFmt w:val="decimal"/>
      <w:lvlText w:val="%1.%2.%3.%4.%5"/>
      <w:lvlJc w:val="left"/>
      <w:pPr>
        <w:ind w:left="2551" w:hanging="850"/>
      </w:pPr>
      <w:rPr>
        <w:rFonts w:hint="eastAsia"/>
        <w:b w:val="0"/>
        <w:i w:val="0"/>
        <w:sz w:val="21"/>
      </w:rPr>
    </w:lvl>
    <w:lvl w:ilvl="5" w:tentative="0">
      <w:start w:val="1"/>
      <w:numFmt w:val="decimal"/>
      <w:lvlText w:val="%1.%2.%3.%4.%5.%6"/>
      <w:lvlJc w:val="left"/>
      <w:pPr>
        <w:ind w:left="3260" w:hanging="1134"/>
      </w:pPr>
      <w:rPr>
        <w:rFonts w:hint="eastAsia"/>
        <w:b w:val="0"/>
        <w:i w:val="0"/>
        <w:sz w:val="21"/>
      </w:rPr>
    </w:lvl>
    <w:lvl w:ilvl="6" w:tentative="0">
      <w:start w:val="1"/>
      <w:numFmt w:val="decimal"/>
      <w:lvlText w:val="%1.%2.%3.%4.%5.%6.%7"/>
      <w:lvlJc w:val="left"/>
      <w:pPr>
        <w:ind w:left="3827" w:hanging="1276"/>
      </w:pPr>
      <w:rPr>
        <w:rFonts w:hint="eastAsia"/>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0"/>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1797473"/>
    <w:multiLevelType w:val="multilevel"/>
    <w:tmpl w:val="41797473"/>
    <w:lvl w:ilvl="0" w:tentative="0">
      <w:start w:val="7"/>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8"/>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1">
    <w:nsid w:val="44C50F90"/>
    <w:multiLevelType w:val="multilevel"/>
    <w:tmpl w:val="44C50F90"/>
    <w:lvl w:ilvl="0" w:tentative="0">
      <w:start w:val="1"/>
      <w:numFmt w:val="decimal"/>
      <w:pStyle w:val="66"/>
      <w:lvlText w:val="%1)"/>
      <w:lvlJc w:val="left"/>
      <w:pPr>
        <w:tabs>
          <w:tab w:val="left" w:pos="839"/>
        </w:tabs>
        <w:ind w:left="839" w:hanging="419"/>
      </w:pPr>
      <w:rPr>
        <w:rFonts w:ascii="宋体" w:hAnsi="Times New Roman" w:eastAsia="宋体" w:cs="Times New Roman"/>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7461132"/>
    <w:multiLevelType w:val="multilevel"/>
    <w:tmpl w:val="47461132"/>
    <w:lvl w:ilvl="0" w:tentative="0">
      <w:start w:val="1"/>
      <w:numFmt w:val="decimal"/>
      <w:lvlText w:val="%1"/>
      <w:lvlJc w:val="left"/>
      <w:pPr>
        <w:ind w:left="525" w:hanging="525"/>
      </w:pPr>
      <w:rPr>
        <w:rFonts w:hint="default" w:asciiTheme="minorEastAsia" w:hAnsiTheme="minorEastAsia" w:eastAsiaTheme="minorEastAsia"/>
      </w:rPr>
    </w:lvl>
    <w:lvl w:ilvl="1" w:tentative="0">
      <w:start w:val="0"/>
      <w:numFmt w:val="decimal"/>
      <w:lvlText w:val="%1.%2"/>
      <w:lvlJc w:val="left"/>
      <w:pPr>
        <w:ind w:left="1163" w:hanging="525"/>
      </w:pPr>
      <w:rPr>
        <w:rFonts w:hint="default" w:asciiTheme="minorEastAsia" w:hAnsiTheme="minorEastAsia" w:eastAsiaTheme="minorEastAsia"/>
      </w:rPr>
    </w:lvl>
    <w:lvl w:ilvl="2" w:tentative="0">
      <w:start w:val="1"/>
      <w:numFmt w:val="decimal"/>
      <w:lvlText w:val="%1.%2.%3"/>
      <w:lvlJc w:val="left"/>
      <w:pPr>
        <w:ind w:left="1996" w:hanging="720"/>
      </w:pPr>
      <w:rPr>
        <w:rFonts w:hint="default" w:ascii="Times New Roman" w:hAnsi="Times New Roman" w:eastAsiaTheme="minorEastAsia"/>
        <w:b/>
        <w:sz w:val="24"/>
      </w:rPr>
    </w:lvl>
    <w:lvl w:ilvl="3" w:tentative="0">
      <w:start w:val="1"/>
      <w:numFmt w:val="decimal"/>
      <w:lvlText w:val="%1.%2.%3.%4"/>
      <w:lvlJc w:val="left"/>
      <w:pPr>
        <w:ind w:left="2994" w:hanging="1080"/>
      </w:pPr>
      <w:rPr>
        <w:rFonts w:hint="default" w:asciiTheme="minorEastAsia" w:hAnsiTheme="minorEastAsia" w:eastAsiaTheme="minorEastAsia"/>
      </w:rPr>
    </w:lvl>
    <w:lvl w:ilvl="4" w:tentative="0">
      <w:start w:val="1"/>
      <w:numFmt w:val="decimal"/>
      <w:lvlText w:val="%1.%2.%3.%4.%5"/>
      <w:lvlJc w:val="left"/>
      <w:pPr>
        <w:ind w:left="3632" w:hanging="1080"/>
      </w:pPr>
      <w:rPr>
        <w:rFonts w:hint="default" w:asciiTheme="minorEastAsia" w:hAnsiTheme="minorEastAsia" w:eastAsiaTheme="minorEastAsia"/>
      </w:rPr>
    </w:lvl>
    <w:lvl w:ilvl="5" w:tentative="0">
      <w:start w:val="1"/>
      <w:numFmt w:val="decimal"/>
      <w:lvlText w:val="%1.%2.%3.%4.%5.%6"/>
      <w:lvlJc w:val="left"/>
      <w:pPr>
        <w:ind w:left="4630" w:hanging="1440"/>
      </w:pPr>
      <w:rPr>
        <w:rFonts w:hint="default" w:asciiTheme="minorEastAsia" w:hAnsiTheme="minorEastAsia" w:eastAsiaTheme="minorEastAsia"/>
      </w:rPr>
    </w:lvl>
    <w:lvl w:ilvl="6" w:tentative="0">
      <w:start w:val="1"/>
      <w:numFmt w:val="decimal"/>
      <w:lvlText w:val="%1.%2.%3.%4.%5.%6.%7"/>
      <w:lvlJc w:val="left"/>
      <w:pPr>
        <w:ind w:left="5268" w:hanging="1440"/>
      </w:pPr>
      <w:rPr>
        <w:rFonts w:hint="default" w:asciiTheme="minorEastAsia" w:hAnsiTheme="minorEastAsia" w:eastAsiaTheme="minorEastAsia"/>
      </w:rPr>
    </w:lvl>
    <w:lvl w:ilvl="7" w:tentative="0">
      <w:start w:val="1"/>
      <w:numFmt w:val="decimal"/>
      <w:lvlText w:val="%1.%2.%3.%4.%5.%6.%7.%8"/>
      <w:lvlJc w:val="left"/>
      <w:pPr>
        <w:ind w:left="6266" w:hanging="1800"/>
      </w:pPr>
      <w:rPr>
        <w:rFonts w:hint="default" w:asciiTheme="minorEastAsia" w:hAnsiTheme="minorEastAsia" w:eastAsiaTheme="minorEastAsia"/>
      </w:rPr>
    </w:lvl>
    <w:lvl w:ilvl="8" w:tentative="0">
      <w:start w:val="1"/>
      <w:numFmt w:val="decimal"/>
      <w:lvlText w:val="%1.%2.%3.%4.%5.%6.%7.%8.%9"/>
      <w:lvlJc w:val="left"/>
      <w:pPr>
        <w:ind w:left="6904" w:hanging="1800"/>
      </w:pPr>
      <w:rPr>
        <w:rFonts w:hint="default" w:asciiTheme="minorEastAsia" w:hAnsiTheme="minorEastAsia" w:eastAsiaTheme="minorEastAsia"/>
      </w:rPr>
    </w:lvl>
  </w:abstractNum>
  <w:abstractNum w:abstractNumId="13">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63D28F3"/>
    <w:multiLevelType w:val="multilevel"/>
    <w:tmpl w:val="563D28F3"/>
    <w:lvl w:ilvl="0" w:tentative="0">
      <w:start w:val="1"/>
      <w:numFmt w:val="decimal"/>
      <w:lvlText w:val="%1）"/>
      <w:lvlJc w:val="left"/>
      <w:pPr>
        <w:ind w:left="1145" w:hanging="360"/>
      </w:pPr>
      <w:rPr>
        <w:rFonts w:hint="default" w:ascii="Times New Roman" w:hAnsi="Times New Roman" w:cs="Times New Roman"/>
      </w:rPr>
    </w:lvl>
    <w:lvl w:ilvl="1" w:tentative="0">
      <w:start w:val="1"/>
      <w:numFmt w:val="lowerLetter"/>
      <w:lvlText w:val="%2)"/>
      <w:lvlJc w:val="left"/>
      <w:pPr>
        <w:ind w:left="1625" w:hanging="420"/>
      </w:pPr>
    </w:lvl>
    <w:lvl w:ilvl="2" w:tentative="0">
      <w:start w:val="1"/>
      <w:numFmt w:val="lowerRoman"/>
      <w:lvlText w:val="%3."/>
      <w:lvlJc w:val="right"/>
      <w:pPr>
        <w:ind w:left="2045" w:hanging="420"/>
      </w:pPr>
    </w:lvl>
    <w:lvl w:ilvl="3" w:tentative="0">
      <w:start w:val="1"/>
      <w:numFmt w:val="decimal"/>
      <w:lvlText w:val="%4."/>
      <w:lvlJc w:val="left"/>
      <w:pPr>
        <w:ind w:left="2465" w:hanging="420"/>
      </w:pPr>
    </w:lvl>
    <w:lvl w:ilvl="4" w:tentative="0">
      <w:start w:val="1"/>
      <w:numFmt w:val="lowerLetter"/>
      <w:lvlText w:val="%5)"/>
      <w:lvlJc w:val="left"/>
      <w:pPr>
        <w:ind w:left="2885" w:hanging="420"/>
      </w:pPr>
    </w:lvl>
    <w:lvl w:ilvl="5" w:tentative="0">
      <w:start w:val="1"/>
      <w:numFmt w:val="lowerRoman"/>
      <w:lvlText w:val="%6."/>
      <w:lvlJc w:val="right"/>
      <w:pPr>
        <w:ind w:left="3305" w:hanging="420"/>
      </w:pPr>
    </w:lvl>
    <w:lvl w:ilvl="6" w:tentative="0">
      <w:start w:val="1"/>
      <w:numFmt w:val="decimal"/>
      <w:lvlText w:val="%7."/>
      <w:lvlJc w:val="left"/>
      <w:pPr>
        <w:ind w:left="3725" w:hanging="420"/>
      </w:pPr>
    </w:lvl>
    <w:lvl w:ilvl="7" w:tentative="0">
      <w:start w:val="1"/>
      <w:numFmt w:val="lowerLetter"/>
      <w:lvlText w:val="%8)"/>
      <w:lvlJc w:val="left"/>
      <w:pPr>
        <w:ind w:left="4145" w:hanging="420"/>
      </w:pPr>
    </w:lvl>
    <w:lvl w:ilvl="8" w:tentative="0">
      <w:start w:val="1"/>
      <w:numFmt w:val="lowerRoman"/>
      <w:lvlText w:val="%9."/>
      <w:lvlJc w:val="right"/>
      <w:pPr>
        <w:ind w:left="4565" w:hanging="420"/>
      </w:pPr>
    </w:lvl>
  </w:abstractNum>
  <w:abstractNum w:abstractNumId="16">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18F7961"/>
    <w:multiLevelType w:val="multilevel"/>
    <w:tmpl w:val="618F7961"/>
    <w:lvl w:ilvl="0" w:tentative="0">
      <w:start w:val="4"/>
      <w:numFmt w:val="decimal"/>
      <w:lvlText w:val="%1"/>
      <w:lvlJc w:val="left"/>
      <w:pPr>
        <w:ind w:left="360" w:hanging="360"/>
      </w:pPr>
      <w:rPr>
        <w:rFonts w:hint="default"/>
      </w:rPr>
    </w:lvl>
    <w:lvl w:ilvl="1" w:tentative="0">
      <w:start w:val="1"/>
      <w:numFmt w:val="decimal"/>
      <w:lvlText w:val="%1.%2"/>
      <w:lvlJc w:val="left"/>
      <w:pPr>
        <w:ind w:left="780" w:hanging="360"/>
      </w:pPr>
      <w:rPr>
        <w:rFonts w:hint="default"/>
      </w:rPr>
    </w:lvl>
    <w:lvl w:ilvl="2" w:tentative="0">
      <w:start w:val="1"/>
      <w:numFmt w:val="decimal"/>
      <w:lvlText w:val="%1.%2.%3"/>
      <w:lvlJc w:val="left"/>
      <w:pPr>
        <w:ind w:left="1560" w:hanging="720"/>
      </w:pPr>
      <w:rPr>
        <w:rFonts w:hint="default"/>
        <w:b/>
        <w:bCs/>
      </w:rPr>
    </w:lvl>
    <w:lvl w:ilvl="3" w:tentative="0">
      <w:start w:val="1"/>
      <w:numFmt w:val="decimal"/>
      <w:lvlText w:val="%1.%2.%3.%4"/>
      <w:lvlJc w:val="left"/>
      <w:pPr>
        <w:ind w:left="1980" w:hanging="720"/>
      </w:pPr>
      <w:rPr>
        <w:rFonts w:hint="default"/>
      </w:rPr>
    </w:lvl>
    <w:lvl w:ilvl="4" w:tentative="0">
      <w:start w:val="1"/>
      <w:numFmt w:val="decimal"/>
      <w:lvlText w:val="%1.%2.%3.%4.%5"/>
      <w:lvlJc w:val="left"/>
      <w:pPr>
        <w:ind w:left="2760" w:hanging="1080"/>
      </w:pPr>
      <w:rPr>
        <w:rFonts w:hint="default"/>
      </w:rPr>
    </w:lvl>
    <w:lvl w:ilvl="5" w:tentative="0">
      <w:start w:val="1"/>
      <w:numFmt w:val="decimal"/>
      <w:lvlText w:val="%1.%2.%3.%4.%5.%6"/>
      <w:lvlJc w:val="left"/>
      <w:pPr>
        <w:ind w:left="3180" w:hanging="1080"/>
      </w:pPr>
      <w:rPr>
        <w:rFonts w:hint="default"/>
      </w:rPr>
    </w:lvl>
    <w:lvl w:ilvl="6" w:tentative="0">
      <w:start w:val="1"/>
      <w:numFmt w:val="decimal"/>
      <w:lvlText w:val="%1.%2.%3.%4.%5.%6.%7"/>
      <w:lvlJc w:val="left"/>
      <w:pPr>
        <w:ind w:left="3960" w:hanging="1440"/>
      </w:pPr>
      <w:rPr>
        <w:rFonts w:hint="default"/>
      </w:rPr>
    </w:lvl>
    <w:lvl w:ilvl="7" w:tentative="0">
      <w:start w:val="1"/>
      <w:numFmt w:val="decimal"/>
      <w:lvlText w:val="%1.%2.%3.%4.%5.%6.%7.%8"/>
      <w:lvlJc w:val="left"/>
      <w:pPr>
        <w:ind w:left="4380" w:hanging="1440"/>
      </w:pPr>
      <w:rPr>
        <w:rFonts w:hint="default"/>
      </w:rPr>
    </w:lvl>
    <w:lvl w:ilvl="8" w:tentative="0">
      <w:start w:val="1"/>
      <w:numFmt w:val="decimal"/>
      <w:lvlText w:val="%1.%2.%3.%4.%5.%6.%7.%8.%9"/>
      <w:lvlJc w:val="left"/>
      <w:pPr>
        <w:ind w:left="5160" w:hanging="1800"/>
      </w:pPr>
      <w:rPr>
        <w:rFonts w:hint="default"/>
      </w:rPr>
    </w:lvl>
  </w:abstractNum>
  <w:abstractNum w:abstractNumId="18">
    <w:nsid w:val="62702E3A"/>
    <w:multiLevelType w:val="multilevel"/>
    <w:tmpl w:val="62702E3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46260FA"/>
    <w:multiLevelType w:val="multilevel"/>
    <w:tmpl w:val="646260FA"/>
    <w:lvl w:ilvl="0" w:tentative="0">
      <w:start w:val="1"/>
      <w:numFmt w:val="decimal"/>
      <w:pStyle w:val="133"/>
      <w:suff w:val="nothing"/>
      <w:lvlText w:val="表%1　"/>
      <w:lvlJc w:val="left"/>
      <w:pPr>
        <w:ind w:left="2410" w:firstLine="0"/>
      </w:pPr>
      <w:rPr>
        <w:rFonts w:hint="eastAsia" w:ascii="黑体" w:hAnsi="Times New Roman" w:eastAsia="黑体"/>
        <w:b w:val="0"/>
        <w:i w:val="0"/>
        <w:sz w:val="20"/>
      </w:rPr>
    </w:lvl>
    <w:lvl w:ilvl="1" w:tentative="0">
      <w:start w:val="1"/>
      <w:numFmt w:val="decimal"/>
      <w:lvlText w:val="%1.%2"/>
      <w:lvlJc w:val="left"/>
      <w:pPr>
        <w:tabs>
          <w:tab w:val="left" w:pos="283"/>
        </w:tabs>
        <w:ind w:left="283" w:hanging="567"/>
      </w:pPr>
      <w:rPr>
        <w:rFonts w:hint="eastAsia"/>
      </w:rPr>
    </w:lvl>
    <w:lvl w:ilvl="2" w:tentative="0">
      <w:start w:val="1"/>
      <w:numFmt w:val="decimal"/>
      <w:lvlText w:val="%1.%2.%3"/>
      <w:lvlJc w:val="left"/>
      <w:pPr>
        <w:tabs>
          <w:tab w:val="left" w:pos="709"/>
        </w:tabs>
        <w:ind w:left="709" w:hanging="567"/>
      </w:pPr>
      <w:rPr>
        <w:rFonts w:hint="eastAsia"/>
      </w:rPr>
    </w:lvl>
    <w:lvl w:ilvl="3" w:tentative="0">
      <w:start w:val="1"/>
      <w:numFmt w:val="decimal"/>
      <w:lvlText w:val="%1.%2.%3.%4"/>
      <w:lvlJc w:val="left"/>
      <w:pPr>
        <w:tabs>
          <w:tab w:val="left" w:pos="1275"/>
        </w:tabs>
        <w:ind w:left="1275" w:hanging="708"/>
      </w:pPr>
      <w:rPr>
        <w:rFonts w:hint="eastAsia"/>
      </w:rPr>
    </w:lvl>
    <w:lvl w:ilvl="4" w:tentative="0">
      <w:start w:val="1"/>
      <w:numFmt w:val="decimal"/>
      <w:lvlText w:val="%1.%2.%3.%4.%5"/>
      <w:lvlJc w:val="left"/>
      <w:pPr>
        <w:tabs>
          <w:tab w:val="left" w:pos="1842"/>
        </w:tabs>
        <w:ind w:left="1842" w:hanging="850"/>
      </w:pPr>
      <w:rPr>
        <w:rFonts w:hint="eastAsia"/>
      </w:rPr>
    </w:lvl>
    <w:lvl w:ilvl="5" w:tentative="0">
      <w:start w:val="1"/>
      <w:numFmt w:val="decimal"/>
      <w:lvlText w:val="%1.%2.%3.%4.%5.%6"/>
      <w:lvlJc w:val="left"/>
      <w:pPr>
        <w:tabs>
          <w:tab w:val="left" w:pos="2551"/>
        </w:tabs>
        <w:ind w:left="2551" w:hanging="1134"/>
      </w:pPr>
      <w:rPr>
        <w:rFonts w:hint="eastAsia"/>
      </w:rPr>
    </w:lvl>
    <w:lvl w:ilvl="6" w:tentative="0">
      <w:start w:val="1"/>
      <w:numFmt w:val="decimal"/>
      <w:lvlText w:val="%1.%2.%3.%4.%5.%6.%7"/>
      <w:lvlJc w:val="left"/>
      <w:pPr>
        <w:tabs>
          <w:tab w:val="left" w:pos="3118"/>
        </w:tabs>
        <w:ind w:left="3118" w:hanging="1276"/>
      </w:pPr>
      <w:rPr>
        <w:rFonts w:hint="eastAsia"/>
      </w:rPr>
    </w:lvl>
    <w:lvl w:ilvl="7" w:tentative="0">
      <w:start w:val="1"/>
      <w:numFmt w:val="decimal"/>
      <w:lvlText w:val="%1.%2.%3.%4.%5.%6.%7.%8"/>
      <w:lvlJc w:val="left"/>
      <w:pPr>
        <w:tabs>
          <w:tab w:val="left" w:pos="3685"/>
        </w:tabs>
        <w:ind w:left="3685" w:hanging="1418"/>
      </w:pPr>
      <w:rPr>
        <w:rFonts w:hint="eastAsia"/>
      </w:rPr>
    </w:lvl>
    <w:lvl w:ilvl="8" w:tentative="0">
      <w:start w:val="1"/>
      <w:numFmt w:val="decimal"/>
      <w:lvlText w:val="%1.%2.%3.%4.%5.%6.%7.%8.%9"/>
      <w:lvlJc w:val="left"/>
      <w:pPr>
        <w:tabs>
          <w:tab w:val="left" w:pos="4393"/>
        </w:tabs>
        <w:ind w:left="4393" w:hanging="1700"/>
      </w:pPr>
      <w:rPr>
        <w:rFonts w:hint="eastAsia"/>
      </w:rPr>
    </w:lvl>
  </w:abstractNum>
  <w:abstractNum w:abstractNumId="20">
    <w:nsid w:val="647B0358"/>
    <w:multiLevelType w:val="multilevel"/>
    <w:tmpl w:val="647B0358"/>
    <w:lvl w:ilvl="0" w:tentative="0">
      <w:start w:val="5"/>
      <w:numFmt w:val="decimal"/>
      <w:lvlText w:val="%1"/>
      <w:lvlJc w:val="left"/>
      <w:pPr>
        <w:ind w:left="360" w:hanging="360"/>
      </w:pPr>
      <w:rPr>
        <w:rFonts w:hint="default"/>
      </w:rPr>
    </w:lvl>
    <w:lvl w:ilvl="1" w:tentative="0">
      <w:start w:val="1"/>
      <w:numFmt w:val="decimal"/>
      <w:lvlText w:val="%1.%2"/>
      <w:lvlJc w:val="left"/>
      <w:pPr>
        <w:ind w:left="785" w:hanging="360"/>
      </w:pPr>
      <w:rPr>
        <w:rFonts w:hint="default"/>
      </w:rPr>
    </w:lvl>
    <w:lvl w:ilvl="2" w:tentative="0">
      <w:start w:val="1"/>
      <w:numFmt w:val="decimal"/>
      <w:lvlText w:val="%1.%2.%3"/>
      <w:lvlJc w:val="left"/>
      <w:pPr>
        <w:ind w:left="1570" w:hanging="720"/>
      </w:pPr>
      <w:rPr>
        <w:rFonts w:hint="default" w:ascii="Times New Roman" w:hAnsi="Times New Roman" w:cs="Times New Roman"/>
        <w:b/>
        <w:bCs/>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21">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6966267"/>
    <w:multiLevelType w:val="multilevel"/>
    <w:tmpl w:val="66966267"/>
    <w:lvl w:ilvl="0" w:tentative="0">
      <w:start w:val="8"/>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ascii="Times New Roman" w:hAnsi="Times New Roman" w:cs="Times New Roman"/>
        <w:b/>
        <w:bCs/>
        <w:sz w:val="24"/>
        <w:szCs w:val="22"/>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3">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4">
    <w:nsid w:val="6DBF04F4"/>
    <w:multiLevelType w:val="multilevel"/>
    <w:tmpl w:val="6DBF04F4"/>
    <w:lvl w:ilvl="0" w:tentative="0">
      <w:start w:val="1"/>
      <w:numFmt w:val="none"/>
      <w:pStyle w:val="64"/>
      <w:suff w:val="nothing"/>
      <w:lvlText w:val="%1注："/>
      <w:lvlJc w:val="left"/>
      <w:pPr>
        <w:ind w:left="1308"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5">
    <w:nsid w:val="781A6030"/>
    <w:multiLevelType w:val="multilevel"/>
    <w:tmpl w:val="781A603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D9B6E44"/>
    <w:multiLevelType w:val="multilevel"/>
    <w:tmpl w:val="7D9B6E4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8"/>
  </w:num>
  <w:num w:numId="3">
    <w:abstractNumId w:val="2"/>
  </w:num>
  <w:num w:numId="4">
    <w:abstractNumId w:val="11"/>
  </w:num>
  <w:num w:numId="5">
    <w:abstractNumId w:val="24"/>
  </w:num>
  <w:num w:numId="6">
    <w:abstractNumId w:val="0"/>
  </w:num>
  <w:num w:numId="7">
    <w:abstractNumId w:val="13"/>
  </w:num>
  <w:num w:numId="8">
    <w:abstractNumId w:val="5"/>
  </w:num>
  <w:num w:numId="9">
    <w:abstractNumId w:val="21"/>
  </w:num>
  <w:num w:numId="10">
    <w:abstractNumId w:val="16"/>
  </w:num>
  <w:num w:numId="11">
    <w:abstractNumId w:val="23"/>
  </w:num>
  <w:num w:numId="12">
    <w:abstractNumId w:val="7"/>
  </w:num>
  <w:num w:numId="13">
    <w:abstractNumId w:val="1"/>
  </w:num>
  <w:num w:numId="14">
    <w:abstractNumId w:val="4"/>
  </w:num>
  <w:num w:numId="15">
    <w:abstractNumId w:val="19"/>
  </w:num>
  <w:num w:numId="16">
    <w:abstractNumId w:val="14"/>
  </w:num>
  <w:num w:numId="17">
    <w:abstractNumId w:val="6"/>
  </w:num>
  <w:num w:numId="18">
    <w:abstractNumId w:val="12"/>
  </w:num>
  <w:num w:numId="19">
    <w:abstractNumId w:val="17"/>
  </w:num>
  <w:num w:numId="20">
    <w:abstractNumId w:val="20"/>
  </w:num>
  <w:num w:numId="21">
    <w:abstractNumId w:val="10"/>
  </w:num>
  <w:num w:numId="22">
    <w:abstractNumId w:val="18"/>
  </w:num>
  <w:num w:numId="23">
    <w:abstractNumId w:val="26"/>
  </w:num>
  <w:num w:numId="24">
    <w:abstractNumId w:val="3"/>
  </w:num>
  <w:num w:numId="25">
    <w:abstractNumId w:val="25"/>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tzQ3M7CwNDI1MjJQ0lEKTi0uzszPAykwtKwFAGwkXLotAAAA"/>
  </w:docVars>
  <w:rsids>
    <w:rsidRoot w:val="00035925"/>
    <w:rsid w:val="00000244"/>
    <w:rsid w:val="0000185F"/>
    <w:rsid w:val="00004597"/>
    <w:rsid w:val="0000586F"/>
    <w:rsid w:val="000077C8"/>
    <w:rsid w:val="00012E86"/>
    <w:rsid w:val="0001379C"/>
    <w:rsid w:val="00013D86"/>
    <w:rsid w:val="00013E02"/>
    <w:rsid w:val="00014032"/>
    <w:rsid w:val="00014063"/>
    <w:rsid w:val="000149F0"/>
    <w:rsid w:val="000150D0"/>
    <w:rsid w:val="00016666"/>
    <w:rsid w:val="0001758D"/>
    <w:rsid w:val="0002143C"/>
    <w:rsid w:val="00022D63"/>
    <w:rsid w:val="000253E4"/>
    <w:rsid w:val="000255F5"/>
    <w:rsid w:val="00025A65"/>
    <w:rsid w:val="00026C31"/>
    <w:rsid w:val="00026C81"/>
    <w:rsid w:val="00027280"/>
    <w:rsid w:val="00027FC1"/>
    <w:rsid w:val="000317DB"/>
    <w:rsid w:val="00031A00"/>
    <w:rsid w:val="00031A10"/>
    <w:rsid w:val="00031B33"/>
    <w:rsid w:val="000320A7"/>
    <w:rsid w:val="0003229B"/>
    <w:rsid w:val="000336D4"/>
    <w:rsid w:val="000343A9"/>
    <w:rsid w:val="00035925"/>
    <w:rsid w:val="00041727"/>
    <w:rsid w:val="00042012"/>
    <w:rsid w:val="00042CBC"/>
    <w:rsid w:val="00043178"/>
    <w:rsid w:val="0004369C"/>
    <w:rsid w:val="00044FE9"/>
    <w:rsid w:val="00045D9B"/>
    <w:rsid w:val="00045F1C"/>
    <w:rsid w:val="0004759B"/>
    <w:rsid w:val="000478BD"/>
    <w:rsid w:val="00047EFF"/>
    <w:rsid w:val="00050019"/>
    <w:rsid w:val="00050550"/>
    <w:rsid w:val="00051536"/>
    <w:rsid w:val="000515DE"/>
    <w:rsid w:val="00052447"/>
    <w:rsid w:val="00053725"/>
    <w:rsid w:val="00054A79"/>
    <w:rsid w:val="00055BBB"/>
    <w:rsid w:val="00056BB1"/>
    <w:rsid w:val="0006291B"/>
    <w:rsid w:val="00062B5B"/>
    <w:rsid w:val="00063BF0"/>
    <w:rsid w:val="00067CDF"/>
    <w:rsid w:val="00070097"/>
    <w:rsid w:val="000703B1"/>
    <w:rsid w:val="00072A6C"/>
    <w:rsid w:val="00072BA1"/>
    <w:rsid w:val="00072CBE"/>
    <w:rsid w:val="00074911"/>
    <w:rsid w:val="00074FBE"/>
    <w:rsid w:val="0007650B"/>
    <w:rsid w:val="0007681E"/>
    <w:rsid w:val="00076B8D"/>
    <w:rsid w:val="00077F16"/>
    <w:rsid w:val="00080EB7"/>
    <w:rsid w:val="0008181E"/>
    <w:rsid w:val="00082462"/>
    <w:rsid w:val="000833BC"/>
    <w:rsid w:val="00083A09"/>
    <w:rsid w:val="0008532B"/>
    <w:rsid w:val="000856A0"/>
    <w:rsid w:val="000856B0"/>
    <w:rsid w:val="000859B3"/>
    <w:rsid w:val="0008675A"/>
    <w:rsid w:val="000875A1"/>
    <w:rsid w:val="0009005E"/>
    <w:rsid w:val="000921AE"/>
    <w:rsid w:val="00092471"/>
    <w:rsid w:val="000924D2"/>
    <w:rsid w:val="00092857"/>
    <w:rsid w:val="00092901"/>
    <w:rsid w:val="00093F9C"/>
    <w:rsid w:val="00094AAB"/>
    <w:rsid w:val="00095A5C"/>
    <w:rsid w:val="000A03A5"/>
    <w:rsid w:val="000A10E5"/>
    <w:rsid w:val="000A20A9"/>
    <w:rsid w:val="000A2FAB"/>
    <w:rsid w:val="000A34D6"/>
    <w:rsid w:val="000A48B1"/>
    <w:rsid w:val="000A4EAC"/>
    <w:rsid w:val="000B084E"/>
    <w:rsid w:val="000B0908"/>
    <w:rsid w:val="000B1AF1"/>
    <w:rsid w:val="000B3143"/>
    <w:rsid w:val="000B5D7F"/>
    <w:rsid w:val="000C06FC"/>
    <w:rsid w:val="000C152E"/>
    <w:rsid w:val="000C197B"/>
    <w:rsid w:val="000C292B"/>
    <w:rsid w:val="000C2D88"/>
    <w:rsid w:val="000C31B1"/>
    <w:rsid w:val="000C33D5"/>
    <w:rsid w:val="000C6B05"/>
    <w:rsid w:val="000C6D57"/>
    <w:rsid w:val="000C6DD6"/>
    <w:rsid w:val="000C73D4"/>
    <w:rsid w:val="000D1AE1"/>
    <w:rsid w:val="000D2BB9"/>
    <w:rsid w:val="000D301E"/>
    <w:rsid w:val="000D3D4C"/>
    <w:rsid w:val="000D4A2F"/>
    <w:rsid w:val="000D4F51"/>
    <w:rsid w:val="000D64A4"/>
    <w:rsid w:val="000D718B"/>
    <w:rsid w:val="000D728C"/>
    <w:rsid w:val="000E0C46"/>
    <w:rsid w:val="000E11B9"/>
    <w:rsid w:val="000E212E"/>
    <w:rsid w:val="000E2BB6"/>
    <w:rsid w:val="000E359F"/>
    <w:rsid w:val="000E3DD7"/>
    <w:rsid w:val="000E54CD"/>
    <w:rsid w:val="000E690F"/>
    <w:rsid w:val="000E6D1F"/>
    <w:rsid w:val="000E7C45"/>
    <w:rsid w:val="000F030C"/>
    <w:rsid w:val="000F098A"/>
    <w:rsid w:val="000F0EA9"/>
    <w:rsid w:val="000F108B"/>
    <w:rsid w:val="000F129C"/>
    <w:rsid w:val="000F189A"/>
    <w:rsid w:val="000F3476"/>
    <w:rsid w:val="000F34A6"/>
    <w:rsid w:val="000F3674"/>
    <w:rsid w:val="000F3743"/>
    <w:rsid w:val="000F5667"/>
    <w:rsid w:val="0010019E"/>
    <w:rsid w:val="0010305E"/>
    <w:rsid w:val="0010361F"/>
    <w:rsid w:val="0010463F"/>
    <w:rsid w:val="001056DE"/>
    <w:rsid w:val="0010606C"/>
    <w:rsid w:val="00107C08"/>
    <w:rsid w:val="001101E0"/>
    <w:rsid w:val="00111208"/>
    <w:rsid w:val="00111848"/>
    <w:rsid w:val="001124C0"/>
    <w:rsid w:val="00114627"/>
    <w:rsid w:val="001203FA"/>
    <w:rsid w:val="001216FE"/>
    <w:rsid w:val="00122D95"/>
    <w:rsid w:val="00123065"/>
    <w:rsid w:val="00125E99"/>
    <w:rsid w:val="0013137A"/>
    <w:rsid w:val="0013175F"/>
    <w:rsid w:val="00131A75"/>
    <w:rsid w:val="00136E10"/>
    <w:rsid w:val="00141605"/>
    <w:rsid w:val="0014472A"/>
    <w:rsid w:val="00144B4C"/>
    <w:rsid w:val="00145124"/>
    <w:rsid w:val="00145A27"/>
    <w:rsid w:val="00145A9A"/>
    <w:rsid w:val="0014621A"/>
    <w:rsid w:val="001471D0"/>
    <w:rsid w:val="0015037B"/>
    <w:rsid w:val="001512B4"/>
    <w:rsid w:val="0015383C"/>
    <w:rsid w:val="00155343"/>
    <w:rsid w:val="00160A60"/>
    <w:rsid w:val="001620A5"/>
    <w:rsid w:val="0016487B"/>
    <w:rsid w:val="00164DA5"/>
    <w:rsid w:val="00164E53"/>
    <w:rsid w:val="001656EB"/>
    <w:rsid w:val="0016699D"/>
    <w:rsid w:val="001669FE"/>
    <w:rsid w:val="00166D14"/>
    <w:rsid w:val="00167C4D"/>
    <w:rsid w:val="00170F0D"/>
    <w:rsid w:val="00171AE2"/>
    <w:rsid w:val="00174BCC"/>
    <w:rsid w:val="00175159"/>
    <w:rsid w:val="00176208"/>
    <w:rsid w:val="00176719"/>
    <w:rsid w:val="00181AA3"/>
    <w:rsid w:val="0018211B"/>
    <w:rsid w:val="001840D3"/>
    <w:rsid w:val="00185A1F"/>
    <w:rsid w:val="00185D4E"/>
    <w:rsid w:val="001900F8"/>
    <w:rsid w:val="001901CD"/>
    <w:rsid w:val="001910B4"/>
    <w:rsid w:val="001910D2"/>
    <w:rsid w:val="00191258"/>
    <w:rsid w:val="00191583"/>
    <w:rsid w:val="001923C9"/>
    <w:rsid w:val="0019251C"/>
    <w:rsid w:val="00192680"/>
    <w:rsid w:val="00193037"/>
    <w:rsid w:val="0019391C"/>
    <w:rsid w:val="00193A2C"/>
    <w:rsid w:val="00193E97"/>
    <w:rsid w:val="00194967"/>
    <w:rsid w:val="001950B1"/>
    <w:rsid w:val="00196601"/>
    <w:rsid w:val="00196F11"/>
    <w:rsid w:val="001979AA"/>
    <w:rsid w:val="001A07F4"/>
    <w:rsid w:val="001A101A"/>
    <w:rsid w:val="001A172C"/>
    <w:rsid w:val="001A288E"/>
    <w:rsid w:val="001A3140"/>
    <w:rsid w:val="001A3A9B"/>
    <w:rsid w:val="001B05EF"/>
    <w:rsid w:val="001B2FBC"/>
    <w:rsid w:val="001B34B3"/>
    <w:rsid w:val="001B6DC2"/>
    <w:rsid w:val="001C0EE6"/>
    <w:rsid w:val="001C1464"/>
    <w:rsid w:val="001C149C"/>
    <w:rsid w:val="001C21AC"/>
    <w:rsid w:val="001C29B5"/>
    <w:rsid w:val="001C2AFB"/>
    <w:rsid w:val="001C35BF"/>
    <w:rsid w:val="001C471A"/>
    <w:rsid w:val="001C47BA"/>
    <w:rsid w:val="001C59EA"/>
    <w:rsid w:val="001C5C32"/>
    <w:rsid w:val="001D021C"/>
    <w:rsid w:val="001D0321"/>
    <w:rsid w:val="001D2043"/>
    <w:rsid w:val="001D27D4"/>
    <w:rsid w:val="001D2C61"/>
    <w:rsid w:val="001D406C"/>
    <w:rsid w:val="001D41EE"/>
    <w:rsid w:val="001D5239"/>
    <w:rsid w:val="001D59EA"/>
    <w:rsid w:val="001D5C8F"/>
    <w:rsid w:val="001E0092"/>
    <w:rsid w:val="001E0219"/>
    <w:rsid w:val="001E0380"/>
    <w:rsid w:val="001E13B1"/>
    <w:rsid w:val="001E1EF2"/>
    <w:rsid w:val="001E3970"/>
    <w:rsid w:val="001E39A7"/>
    <w:rsid w:val="001E636A"/>
    <w:rsid w:val="001F0A5B"/>
    <w:rsid w:val="001F366C"/>
    <w:rsid w:val="001F3674"/>
    <w:rsid w:val="001F3723"/>
    <w:rsid w:val="001F3A19"/>
    <w:rsid w:val="001F44AD"/>
    <w:rsid w:val="001F512B"/>
    <w:rsid w:val="001F799E"/>
    <w:rsid w:val="00200D08"/>
    <w:rsid w:val="00200F57"/>
    <w:rsid w:val="002017CD"/>
    <w:rsid w:val="00201E37"/>
    <w:rsid w:val="00202368"/>
    <w:rsid w:val="0020288E"/>
    <w:rsid w:val="00204E45"/>
    <w:rsid w:val="00205466"/>
    <w:rsid w:val="0020727C"/>
    <w:rsid w:val="002077B0"/>
    <w:rsid w:val="002109E5"/>
    <w:rsid w:val="00210CA0"/>
    <w:rsid w:val="00215F5F"/>
    <w:rsid w:val="0021630F"/>
    <w:rsid w:val="00216B61"/>
    <w:rsid w:val="00216C9A"/>
    <w:rsid w:val="00216D32"/>
    <w:rsid w:val="00217FB3"/>
    <w:rsid w:val="002216B6"/>
    <w:rsid w:val="00221C04"/>
    <w:rsid w:val="0022366F"/>
    <w:rsid w:val="00224173"/>
    <w:rsid w:val="00224EB9"/>
    <w:rsid w:val="00225B54"/>
    <w:rsid w:val="00225C6E"/>
    <w:rsid w:val="0022612C"/>
    <w:rsid w:val="0023277E"/>
    <w:rsid w:val="00232AEC"/>
    <w:rsid w:val="00234467"/>
    <w:rsid w:val="002346C2"/>
    <w:rsid w:val="00237D8D"/>
    <w:rsid w:val="00241DA2"/>
    <w:rsid w:val="002433E0"/>
    <w:rsid w:val="002464CC"/>
    <w:rsid w:val="002470D9"/>
    <w:rsid w:val="0024736A"/>
    <w:rsid w:val="00247FEE"/>
    <w:rsid w:val="00250E7D"/>
    <w:rsid w:val="00252BEF"/>
    <w:rsid w:val="00254609"/>
    <w:rsid w:val="002548A8"/>
    <w:rsid w:val="00255209"/>
    <w:rsid w:val="00255CAA"/>
    <w:rsid w:val="002565D5"/>
    <w:rsid w:val="002570C3"/>
    <w:rsid w:val="00257CD5"/>
    <w:rsid w:val="00260BE6"/>
    <w:rsid w:val="00261A29"/>
    <w:rsid w:val="002622C0"/>
    <w:rsid w:val="00262934"/>
    <w:rsid w:val="002650F6"/>
    <w:rsid w:val="00265FE8"/>
    <w:rsid w:val="002663BE"/>
    <w:rsid w:val="00272532"/>
    <w:rsid w:val="002725F9"/>
    <w:rsid w:val="00272A90"/>
    <w:rsid w:val="00276424"/>
    <w:rsid w:val="00276F45"/>
    <w:rsid w:val="002778AE"/>
    <w:rsid w:val="0028004B"/>
    <w:rsid w:val="00280589"/>
    <w:rsid w:val="00282182"/>
    <w:rsid w:val="0028269A"/>
    <w:rsid w:val="00282A8D"/>
    <w:rsid w:val="00282B84"/>
    <w:rsid w:val="00283590"/>
    <w:rsid w:val="00285804"/>
    <w:rsid w:val="00285D55"/>
    <w:rsid w:val="00286973"/>
    <w:rsid w:val="00286F3B"/>
    <w:rsid w:val="00290D2D"/>
    <w:rsid w:val="00293A58"/>
    <w:rsid w:val="00293D42"/>
    <w:rsid w:val="00294E70"/>
    <w:rsid w:val="00296066"/>
    <w:rsid w:val="002965B3"/>
    <w:rsid w:val="002970FC"/>
    <w:rsid w:val="002971B2"/>
    <w:rsid w:val="0029726F"/>
    <w:rsid w:val="002A0326"/>
    <w:rsid w:val="002A0BB9"/>
    <w:rsid w:val="002A1924"/>
    <w:rsid w:val="002A19CB"/>
    <w:rsid w:val="002A3225"/>
    <w:rsid w:val="002A3589"/>
    <w:rsid w:val="002A3F6E"/>
    <w:rsid w:val="002A47AB"/>
    <w:rsid w:val="002A5468"/>
    <w:rsid w:val="002A548D"/>
    <w:rsid w:val="002A5F90"/>
    <w:rsid w:val="002A62B6"/>
    <w:rsid w:val="002A7420"/>
    <w:rsid w:val="002A76F8"/>
    <w:rsid w:val="002B00BF"/>
    <w:rsid w:val="002B02EF"/>
    <w:rsid w:val="002B0408"/>
    <w:rsid w:val="002B0F12"/>
    <w:rsid w:val="002B1308"/>
    <w:rsid w:val="002B1BC2"/>
    <w:rsid w:val="002B2576"/>
    <w:rsid w:val="002B4554"/>
    <w:rsid w:val="002B5497"/>
    <w:rsid w:val="002B630A"/>
    <w:rsid w:val="002C1DEC"/>
    <w:rsid w:val="002C439B"/>
    <w:rsid w:val="002C5300"/>
    <w:rsid w:val="002C6588"/>
    <w:rsid w:val="002C72D8"/>
    <w:rsid w:val="002D085D"/>
    <w:rsid w:val="002D09A8"/>
    <w:rsid w:val="002D0D10"/>
    <w:rsid w:val="002D11FA"/>
    <w:rsid w:val="002D1203"/>
    <w:rsid w:val="002D13EB"/>
    <w:rsid w:val="002D3493"/>
    <w:rsid w:val="002D3EEA"/>
    <w:rsid w:val="002D4814"/>
    <w:rsid w:val="002D4D3E"/>
    <w:rsid w:val="002D7355"/>
    <w:rsid w:val="002D785D"/>
    <w:rsid w:val="002D78D6"/>
    <w:rsid w:val="002D7A5F"/>
    <w:rsid w:val="002E024E"/>
    <w:rsid w:val="002E0728"/>
    <w:rsid w:val="002E0DDF"/>
    <w:rsid w:val="002E12DC"/>
    <w:rsid w:val="002E1451"/>
    <w:rsid w:val="002E1985"/>
    <w:rsid w:val="002E1B3B"/>
    <w:rsid w:val="002E2906"/>
    <w:rsid w:val="002E3814"/>
    <w:rsid w:val="002E4296"/>
    <w:rsid w:val="002E43F1"/>
    <w:rsid w:val="002E4FEA"/>
    <w:rsid w:val="002E5635"/>
    <w:rsid w:val="002E64C3"/>
    <w:rsid w:val="002E6A0D"/>
    <w:rsid w:val="002E6A2C"/>
    <w:rsid w:val="002E6C19"/>
    <w:rsid w:val="002E6D9A"/>
    <w:rsid w:val="002F04D3"/>
    <w:rsid w:val="002F1D8C"/>
    <w:rsid w:val="002F21DA"/>
    <w:rsid w:val="002F2D2E"/>
    <w:rsid w:val="002F3AE0"/>
    <w:rsid w:val="002F3C65"/>
    <w:rsid w:val="00300E5B"/>
    <w:rsid w:val="00301F39"/>
    <w:rsid w:val="0030217B"/>
    <w:rsid w:val="003047FB"/>
    <w:rsid w:val="0030482F"/>
    <w:rsid w:val="0030589A"/>
    <w:rsid w:val="00306625"/>
    <w:rsid w:val="00307A91"/>
    <w:rsid w:val="00310DE9"/>
    <w:rsid w:val="00313849"/>
    <w:rsid w:val="00314648"/>
    <w:rsid w:val="00314BBA"/>
    <w:rsid w:val="003152C5"/>
    <w:rsid w:val="00315EAC"/>
    <w:rsid w:val="00316CD3"/>
    <w:rsid w:val="00317693"/>
    <w:rsid w:val="0032075F"/>
    <w:rsid w:val="0032142F"/>
    <w:rsid w:val="00321658"/>
    <w:rsid w:val="00323881"/>
    <w:rsid w:val="00325926"/>
    <w:rsid w:val="00326F06"/>
    <w:rsid w:val="00327A8A"/>
    <w:rsid w:val="003317F5"/>
    <w:rsid w:val="003319BA"/>
    <w:rsid w:val="003356D8"/>
    <w:rsid w:val="00336610"/>
    <w:rsid w:val="00341742"/>
    <w:rsid w:val="003421F1"/>
    <w:rsid w:val="003427E0"/>
    <w:rsid w:val="00343F73"/>
    <w:rsid w:val="00345060"/>
    <w:rsid w:val="003452A4"/>
    <w:rsid w:val="0034685C"/>
    <w:rsid w:val="00346E46"/>
    <w:rsid w:val="0035323B"/>
    <w:rsid w:val="00353B6F"/>
    <w:rsid w:val="00354521"/>
    <w:rsid w:val="00356937"/>
    <w:rsid w:val="003609D2"/>
    <w:rsid w:val="00360D1A"/>
    <w:rsid w:val="003613C3"/>
    <w:rsid w:val="00363F22"/>
    <w:rsid w:val="003647A6"/>
    <w:rsid w:val="0036591F"/>
    <w:rsid w:val="0036609D"/>
    <w:rsid w:val="00366AB3"/>
    <w:rsid w:val="003675BA"/>
    <w:rsid w:val="00370714"/>
    <w:rsid w:val="00372EEA"/>
    <w:rsid w:val="003744AD"/>
    <w:rsid w:val="00375564"/>
    <w:rsid w:val="00376BCE"/>
    <w:rsid w:val="00383191"/>
    <w:rsid w:val="003834C7"/>
    <w:rsid w:val="00383C3F"/>
    <w:rsid w:val="00385F38"/>
    <w:rsid w:val="00385FC9"/>
    <w:rsid w:val="00386DED"/>
    <w:rsid w:val="00386EE4"/>
    <w:rsid w:val="00387F24"/>
    <w:rsid w:val="003902F6"/>
    <w:rsid w:val="00390A65"/>
    <w:rsid w:val="003912C2"/>
    <w:rsid w:val="003912E7"/>
    <w:rsid w:val="003923E2"/>
    <w:rsid w:val="00392DCB"/>
    <w:rsid w:val="0039389D"/>
    <w:rsid w:val="00393947"/>
    <w:rsid w:val="00394784"/>
    <w:rsid w:val="003963E5"/>
    <w:rsid w:val="0039654E"/>
    <w:rsid w:val="003970FB"/>
    <w:rsid w:val="00397F52"/>
    <w:rsid w:val="003A0483"/>
    <w:rsid w:val="003A2275"/>
    <w:rsid w:val="003A402E"/>
    <w:rsid w:val="003A416D"/>
    <w:rsid w:val="003A5081"/>
    <w:rsid w:val="003A5B2D"/>
    <w:rsid w:val="003A6A4F"/>
    <w:rsid w:val="003A7088"/>
    <w:rsid w:val="003B00DF"/>
    <w:rsid w:val="003B0420"/>
    <w:rsid w:val="003B1275"/>
    <w:rsid w:val="003B1778"/>
    <w:rsid w:val="003B47FF"/>
    <w:rsid w:val="003B7861"/>
    <w:rsid w:val="003B7B4C"/>
    <w:rsid w:val="003C0346"/>
    <w:rsid w:val="003C046C"/>
    <w:rsid w:val="003C11CB"/>
    <w:rsid w:val="003C1C59"/>
    <w:rsid w:val="003C6425"/>
    <w:rsid w:val="003C75F3"/>
    <w:rsid w:val="003C78A3"/>
    <w:rsid w:val="003D2D1C"/>
    <w:rsid w:val="003D33FF"/>
    <w:rsid w:val="003D4F1D"/>
    <w:rsid w:val="003D5105"/>
    <w:rsid w:val="003D5902"/>
    <w:rsid w:val="003D5B1D"/>
    <w:rsid w:val="003D7021"/>
    <w:rsid w:val="003D7E01"/>
    <w:rsid w:val="003E183E"/>
    <w:rsid w:val="003E1867"/>
    <w:rsid w:val="003E1B6F"/>
    <w:rsid w:val="003E330D"/>
    <w:rsid w:val="003E5729"/>
    <w:rsid w:val="003E7E39"/>
    <w:rsid w:val="003F12ED"/>
    <w:rsid w:val="003F1354"/>
    <w:rsid w:val="003F4BB9"/>
    <w:rsid w:val="003F4EE0"/>
    <w:rsid w:val="003F607B"/>
    <w:rsid w:val="003F707A"/>
    <w:rsid w:val="003F752D"/>
    <w:rsid w:val="003F75B4"/>
    <w:rsid w:val="00400B74"/>
    <w:rsid w:val="004011C1"/>
    <w:rsid w:val="00401214"/>
    <w:rsid w:val="00402153"/>
    <w:rsid w:val="00402FC1"/>
    <w:rsid w:val="0040414F"/>
    <w:rsid w:val="004068E6"/>
    <w:rsid w:val="0040715E"/>
    <w:rsid w:val="004076FA"/>
    <w:rsid w:val="00410944"/>
    <w:rsid w:val="00410BAF"/>
    <w:rsid w:val="004158FE"/>
    <w:rsid w:val="00415F1B"/>
    <w:rsid w:val="00417D81"/>
    <w:rsid w:val="00422896"/>
    <w:rsid w:val="00425082"/>
    <w:rsid w:val="004274CE"/>
    <w:rsid w:val="004309A5"/>
    <w:rsid w:val="00430BF6"/>
    <w:rsid w:val="00431DEB"/>
    <w:rsid w:val="00434A4C"/>
    <w:rsid w:val="004353CF"/>
    <w:rsid w:val="00437037"/>
    <w:rsid w:val="00442978"/>
    <w:rsid w:val="00442FDB"/>
    <w:rsid w:val="004430E8"/>
    <w:rsid w:val="00444962"/>
    <w:rsid w:val="00444A0C"/>
    <w:rsid w:val="00446B29"/>
    <w:rsid w:val="00447279"/>
    <w:rsid w:val="004479F4"/>
    <w:rsid w:val="004500C9"/>
    <w:rsid w:val="004508FE"/>
    <w:rsid w:val="00450F5F"/>
    <w:rsid w:val="00452836"/>
    <w:rsid w:val="00452BEC"/>
    <w:rsid w:val="00453F9A"/>
    <w:rsid w:val="0045636D"/>
    <w:rsid w:val="00456744"/>
    <w:rsid w:val="00460A9C"/>
    <w:rsid w:val="004629C2"/>
    <w:rsid w:val="0046320F"/>
    <w:rsid w:val="00466C92"/>
    <w:rsid w:val="00471E91"/>
    <w:rsid w:val="00471EBF"/>
    <w:rsid w:val="00474675"/>
    <w:rsid w:val="0047470C"/>
    <w:rsid w:val="00485B2D"/>
    <w:rsid w:val="0048700E"/>
    <w:rsid w:val="00490664"/>
    <w:rsid w:val="00490CC1"/>
    <w:rsid w:val="00491DCE"/>
    <w:rsid w:val="004A0435"/>
    <w:rsid w:val="004A3397"/>
    <w:rsid w:val="004A35F9"/>
    <w:rsid w:val="004A3712"/>
    <w:rsid w:val="004A38A8"/>
    <w:rsid w:val="004A4461"/>
    <w:rsid w:val="004A5554"/>
    <w:rsid w:val="004A5730"/>
    <w:rsid w:val="004A5AB7"/>
    <w:rsid w:val="004A611D"/>
    <w:rsid w:val="004A61AF"/>
    <w:rsid w:val="004B0BA4"/>
    <w:rsid w:val="004B217E"/>
    <w:rsid w:val="004B24C1"/>
    <w:rsid w:val="004B54D7"/>
    <w:rsid w:val="004B5D3B"/>
    <w:rsid w:val="004B6088"/>
    <w:rsid w:val="004B6B23"/>
    <w:rsid w:val="004B7AFF"/>
    <w:rsid w:val="004B7E59"/>
    <w:rsid w:val="004C069D"/>
    <w:rsid w:val="004C1237"/>
    <w:rsid w:val="004C292F"/>
    <w:rsid w:val="004C2EA5"/>
    <w:rsid w:val="004C597D"/>
    <w:rsid w:val="004C5DF5"/>
    <w:rsid w:val="004D102B"/>
    <w:rsid w:val="004D3673"/>
    <w:rsid w:val="004D4CE4"/>
    <w:rsid w:val="004E15F8"/>
    <w:rsid w:val="004E217F"/>
    <w:rsid w:val="004E3765"/>
    <w:rsid w:val="004E487C"/>
    <w:rsid w:val="004F05F2"/>
    <w:rsid w:val="004F4D75"/>
    <w:rsid w:val="004F53A0"/>
    <w:rsid w:val="004F5435"/>
    <w:rsid w:val="00501436"/>
    <w:rsid w:val="00503A04"/>
    <w:rsid w:val="005053DC"/>
    <w:rsid w:val="00505B27"/>
    <w:rsid w:val="005065D8"/>
    <w:rsid w:val="00507772"/>
    <w:rsid w:val="00510280"/>
    <w:rsid w:val="005123AB"/>
    <w:rsid w:val="00513B3B"/>
    <w:rsid w:val="00513D73"/>
    <w:rsid w:val="00514A43"/>
    <w:rsid w:val="00515558"/>
    <w:rsid w:val="005166C6"/>
    <w:rsid w:val="005174E5"/>
    <w:rsid w:val="00520741"/>
    <w:rsid w:val="00521485"/>
    <w:rsid w:val="00522393"/>
    <w:rsid w:val="00522620"/>
    <w:rsid w:val="005228C6"/>
    <w:rsid w:val="00525224"/>
    <w:rsid w:val="00525656"/>
    <w:rsid w:val="00530A97"/>
    <w:rsid w:val="00530A9B"/>
    <w:rsid w:val="005316C7"/>
    <w:rsid w:val="005338F3"/>
    <w:rsid w:val="00534C02"/>
    <w:rsid w:val="005424E9"/>
    <w:rsid w:val="0054264B"/>
    <w:rsid w:val="00543786"/>
    <w:rsid w:val="005437DD"/>
    <w:rsid w:val="0054520D"/>
    <w:rsid w:val="00546A2A"/>
    <w:rsid w:val="00547B70"/>
    <w:rsid w:val="00550B14"/>
    <w:rsid w:val="005530D3"/>
    <w:rsid w:val="005533D7"/>
    <w:rsid w:val="00553490"/>
    <w:rsid w:val="00554058"/>
    <w:rsid w:val="005555C8"/>
    <w:rsid w:val="0055584B"/>
    <w:rsid w:val="00556819"/>
    <w:rsid w:val="00557055"/>
    <w:rsid w:val="00561600"/>
    <w:rsid w:val="00561A5A"/>
    <w:rsid w:val="0056308A"/>
    <w:rsid w:val="005632D6"/>
    <w:rsid w:val="0056397F"/>
    <w:rsid w:val="00563E13"/>
    <w:rsid w:val="00565275"/>
    <w:rsid w:val="005703DE"/>
    <w:rsid w:val="00571468"/>
    <w:rsid w:val="005715E0"/>
    <w:rsid w:val="0057191D"/>
    <w:rsid w:val="00571B03"/>
    <w:rsid w:val="00572CC5"/>
    <w:rsid w:val="005733A3"/>
    <w:rsid w:val="00574E2B"/>
    <w:rsid w:val="00576092"/>
    <w:rsid w:val="005764F1"/>
    <w:rsid w:val="00580529"/>
    <w:rsid w:val="00583260"/>
    <w:rsid w:val="005842FC"/>
    <w:rsid w:val="0058464E"/>
    <w:rsid w:val="00586B16"/>
    <w:rsid w:val="005914DF"/>
    <w:rsid w:val="005915F2"/>
    <w:rsid w:val="00591DF2"/>
    <w:rsid w:val="00592776"/>
    <w:rsid w:val="00596210"/>
    <w:rsid w:val="005968C2"/>
    <w:rsid w:val="00596F5B"/>
    <w:rsid w:val="005A01CB"/>
    <w:rsid w:val="005A0954"/>
    <w:rsid w:val="005A1FEE"/>
    <w:rsid w:val="005A240A"/>
    <w:rsid w:val="005A4754"/>
    <w:rsid w:val="005A47F7"/>
    <w:rsid w:val="005A58FF"/>
    <w:rsid w:val="005A5D94"/>
    <w:rsid w:val="005A5EAF"/>
    <w:rsid w:val="005A64C0"/>
    <w:rsid w:val="005A7535"/>
    <w:rsid w:val="005B2087"/>
    <w:rsid w:val="005B2AEC"/>
    <w:rsid w:val="005B2B52"/>
    <w:rsid w:val="005B36A6"/>
    <w:rsid w:val="005B3C11"/>
    <w:rsid w:val="005B3F4D"/>
    <w:rsid w:val="005B6D30"/>
    <w:rsid w:val="005B75AD"/>
    <w:rsid w:val="005C0884"/>
    <w:rsid w:val="005C0B32"/>
    <w:rsid w:val="005C0B5A"/>
    <w:rsid w:val="005C1189"/>
    <w:rsid w:val="005C1403"/>
    <w:rsid w:val="005C1C28"/>
    <w:rsid w:val="005C3488"/>
    <w:rsid w:val="005C36E1"/>
    <w:rsid w:val="005C4351"/>
    <w:rsid w:val="005C476D"/>
    <w:rsid w:val="005C4BB6"/>
    <w:rsid w:val="005C4CCB"/>
    <w:rsid w:val="005C6DB5"/>
    <w:rsid w:val="005C78F9"/>
    <w:rsid w:val="005D17D7"/>
    <w:rsid w:val="005D251A"/>
    <w:rsid w:val="005D2986"/>
    <w:rsid w:val="005D2F82"/>
    <w:rsid w:val="005D42E2"/>
    <w:rsid w:val="005D7A76"/>
    <w:rsid w:val="005E06A8"/>
    <w:rsid w:val="005E19E7"/>
    <w:rsid w:val="005E2418"/>
    <w:rsid w:val="005E30D5"/>
    <w:rsid w:val="005E408A"/>
    <w:rsid w:val="005E73E0"/>
    <w:rsid w:val="005F163E"/>
    <w:rsid w:val="005F31C7"/>
    <w:rsid w:val="005F3CD4"/>
    <w:rsid w:val="005F6282"/>
    <w:rsid w:val="006003E4"/>
    <w:rsid w:val="00601DBD"/>
    <w:rsid w:val="00602533"/>
    <w:rsid w:val="00605BC9"/>
    <w:rsid w:val="00607057"/>
    <w:rsid w:val="00610CBB"/>
    <w:rsid w:val="006137BA"/>
    <w:rsid w:val="00613B81"/>
    <w:rsid w:val="00614151"/>
    <w:rsid w:val="00615FA0"/>
    <w:rsid w:val="00616CF2"/>
    <w:rsid w:val="0061716C"/>
    <w:rsid w:val="00617573"/>
    <w:rsid w:val="006205B4"/>
    <w:rsid w:val="00623339"/>
    <w:rsid w:val="006236E8"/>
    <w:rsid w:val="00623E91"/>
    <w:rsid w:val="006243A1"/>
    <w:rsid w:val="00624779"/>
    <w:rsid w:val="006248BC"/>
    <w:rsid w:val="00624E09"/>
    <w:rsid w:val="00624FB3"/>
    <w:rsid w:val="00626EF9"/>
    <w:rsid w:val="006304C8"/>
    <w:rsid w:val="00632E56"/>
    <w:rsid w:val="0063346A"/>
    <w:rsid w:val="00635983"/>
    <w:rsid w:val="00635CBA"/>
    <w:rsid w:val="00635F92"/>
    <w:rsid w:val="00637969"/>
    <w:rsid w:val="006414F0"/>
    <w:rsid w:val="0064302D"/>
    <w:rsid w:val="0064338B"/>
    <w:rsid w:val="00646542"/>
    <w:rsid w:val="0064769F"/>
    <w:rsid w:val="00647A71"/>
    <w:rsid w:val="006504F4"/>
    <w:rsid w:val="00652066"/>
    <w:rsid w:val="00652264"/>
    <w:rsid w:val="00654010"/>
    <w:rsid w:val="00654BC9"/>
    <w:rsid w:val="006552FD"/>
    <w:rsid w:val="00656B2C"/>
    <w:rsid w:val="006606BB"/>
    <w:rsid w:val="00660B0C"/>
    <w:rsid w:val="00661BEA"/>
    <w:rsid w:val="006629D2"/>
    <w:rsid w:val="00663AF3"/>
    <w:rsid w:val="006664F5"/>
    <w:rsid w:val="00666B6C"/>
    <w:rsid w:val="0067002D"/>
    <w:rsid w:val="00672DA9"/>
    <w:rsid w:val="00673C47"/>
    <w:rsid w:val="00673E89"/>
    <w:rsid w:val="00675B2B"/>
    <w:rsid w:val="006767A1"/>
    <w:rsid w:val="00676EF7"/>
    <w:rsid w:val="00676F65"/>
    <w:rsid w:val="00676FD1"/>
    <w:rsid w:val="00680DAD"/>
    <w:rsid w:val="00681368"/>
    <w:rsid w:val="006816F5"/>
    <w:rsid w:val="00681E51"/>
    <w:rsid w:val="00682682"/>
    <w:rsid w:val="00682702"/>
    <w:rsid w:val="0068482A"/>
    <w:rsid w:val="00687AD7"/>
    <w:rsid w:val="00692368"/>
    <w:rsid w:val="006A0141"/>
    <w:rsid w:val="006A060A"/>
    <w:rsid w:val="006A1E75"/>
    <w:rsid w:val="006A2EBC"/>
    <w:rsid w:val="006A43D1"/>
    <w:rsid w:val="006A499F"/>
    <w:rsid w:val="006A534C"/>
    <w:rsid w:val="006A5EA0"/>
    <w:rsid w:val="006A7137"/>
    <w:rsid w:val="006A783B"/>
    <w:rsid w:val="006A7B33"/>
    <w:rsid w:val="006B0AFF"/>
    <w:rsid w:val="006B1453"/>
    <w:rsid w:val="006B1B6A"/>
    <w:rsid w:val="006B1EE3"/>
    <w:rsid w:val="006B283A"/>
    <w:rsid w:val="006B45EB"/>
    <w:rsid w:val="006B4E13"/>
    <w:rsid w:val="006B63A8"/>
    <w:rsid w:val="006B6ACF"/>
    <w:rsid w:val="006B75DD"/>
    <w:rsid w:val="006C0C22"/>
    <w:rsid w:val="006C0E6E"/>
    <w:rsid w:val="006C1319"/>
    <w:rsid w:val="006C135F"/>
    <w:rsid w:val="006C265C"/>
    <w:rsid w:val="006C541D"/>
    <w:rsid w:val="006C67E0"/>
    <w:rsid w:val="006C7ABA"/>
    <w:rsid w:val="006D0D60"/>
    <w:rsid w:val="006D1122"/>
    <w:rsid w:val="006D16BF"/>
    <w:rsid w:val="006D2329"/>
    <w:rsid w:val="006D3A6B"/>
    <w:rsid w:val="006D3C00"/>
    <w:rsid w:val="006D725B"/>
    <w:rsid w:val="006E0E7F"/>
    <w:rsid w:val="006E1744"/>
    <w:rsid w:val="006E3655"/>
    <w:rsid w:val="006E3675"/>
    <w:rsid w:val="006E4A7F"/>
    <w:rsid w:val="006F068A"/>
    <w:rsid w:val="006F1E2E"/>
    <w:rsid w:val="006F1FD1"/>
    <w:rsid w:val="006F337B"/>
    <w:rsid w:val="006F3D23"/>
    <w:rsid w:val="006F3EC2"/>
    <w:rsid w:val="006F470E"/>
    <w:rsid w:val="006F4AB8"/>
    <w:rsid w:val="006F4BFE"/>
    <w:rsid w:val="006F4E1F"/>
    <w:rsid w:val="006F535E"/>
    <w:rsid w:val="006F5E0D"/>
    <w:rsid w:val="006F6A7F"/>
    <w:rsid w:val="006F6FEC"/>
    <w:rsid w:val="006F7574"/>
    <w:rsid w:val="006F7FC4"/>
    <w:rsid w:val="007001A8"/>
    <w:rsid w:val="00700C80"/>
    <w:rsid w:val="00701A6B"/>
    <w:rsid w:val="00704B94"/>
    <w:rsid w:val="00704DF6"/>
    <w:rsid w:val="0070651C"/>
    <w:rsid w:val="00706CBD"/>
    <w:rsid w:val="007116BB"/>
    <w:rsid w:val="0071240B"/>
    <w:rsid w:val="007132A3"/>
    <w:rsid w:val="0071369B"/>
    <w:rsid w:val="0071564E"/>
    <w:rsid w:val="00716421"/>
    <w:rsid w:val="00717E69"/>
    <w:rsid w:val="007217E0"/>
    <w:rsid w:val="00722A00"/>
    <w:rsid w:val="007232F8"/>
    <w:rsid w:val="007238B9"/>
    <w:rsid w:val="007243CD"/>
    <w:rsid w:val="00724EFB"/>
    <w:rsid w:val="007252D0"/>
    <w:rsid w:val="00726A1E"/>
    <w:rsid w:val="007278FE"/>
    <w:rsid w:val="00730DF8"/>
    <w:rsid w:val="00731F69"/>
    <w:rsid w:val="00732753"/>
    <w:rsid w:val="007333F7"/>
    <w:rsid w:val="007343A3"/>
    <w:rsid w:val="0073442C"/>
    <w:rsid w:val="007358CD"/>
    <w:rsid w:val="0073619D"/>
    <w:rsid w:val="0073657A"/>
    <w:rsid w:val="00740533"/>
    <w:rsid w:val="00740996"/>
    <w:rsid w:val="00741272"/>
    <w:rsid w:val="007419C3"/>
    <w:rsid w:val="0074226B"/>
    <w:rsid w:val="00743BBE"/>
    <w:rsid w:val="00744B69"/>
    <w:rsid w:val="00746202"/>
    <w:rsid w:val="007467A7"/>
    <w:rsid w:val="007469DD"/>
    <w:rsid w:val="0074741B"/>
    <w:rsid w:val="0074759E"/>
    <w:rsid w:val="007478EA"/>
    <w:rsid w:val="00747F71"/>
    <w:rsid w:val="007504FF"/>
    <w:rsid w:val="00751DF3"/>
    <w:rsid w:val="0075415C"/>
    <w:rsid w:val="0075706C"/>
    <w:rsid w:val="007579FA"/>
    <w:rsid w:val="00760B1B"/>
    <w:rsid w:val="00761B47"/>
    <w:rsid w:val="00761C35"/>
    <w:rsid w:val="00762D48"/>
    <w:rsid w:val="007630CB"/>
    <w:rsid w:val="0076345C"/>
    <w:rsid w:val="00763502"/>
    <w:rsid w:val="00764211"/>
    <w:rsid w:val="00770E43"/>
    <w:rsid w:val="00770E6E"/>
    <w:rsid w:val="0077197B"/>
    <w:rsid w:val="00772739"/>
    <w:rsid w:val="0077280A"/>
    <w:rsid w:val="0077536A"/>
    <w:rsid w:val="0078056B"/>
    <w:rsid w:val="00780AC3"/>
    <w:rsid w:val="00782DF7"/>
    <w:rsid w:val="00784465"/>
    <w:rsid w:val="00785696"/>
    <w:rsid w:val="0078648C"/>
    <w:rsid w:val="00790ACA"/>
    <w:rsid w:val="007913AB"/>
    <w:rsid w:val="007914F7"/>
    <w:rsid w:val="00792FB3"/>
    <w:rsid w:val="00793324"/>
    <w:rsid w:val="007934BB"/>
    <w:rsid w:val="007A1804"/>
    <w:rsid w:val="007A1CAC"/>
    <w:rsid w:val="007A5743"/>
    <w:rsid w:val="007A643B"/>
    <w:rsid w:val="007A698C"/>
    <w:rsid w:val="007B1625"/>
    <w:rsid w:val="007B2114"/>
    <w:rsid w:val="007B2654"/>
    <w:rsid w:val="007B2829"/>
    <w:rsid w:val="007B336E"/>
    <w:rsid w:val="007B3DFE"/>
    <w:rsid w:val="007B53FB"/>
    <w:rsid w:val="007B706E"/>
    <w:rsid w:val="007B71EB"/>
    <w:rsid w:val="007B74ED"/>
    <w:rsid w:val="007B7D6C"/>
    <w:rsid w:val="007C1B76"/>
    <w:rsid w:val="007C483E"/>
    <w:rsid w:val="007C6205"/>
    <w:rsid w:val="007C686A"/>
    <w:rsid w:val="007C728E"/>
    <w:rsid w:val="007D2C53"/>
    <w:rsid w:val="007D3828"/>
    <w:rsid w:val="007D3ABE"/>
    <w:rsid w:val="007D3D60"/>
    <w:rsid w:val="007D4A95"/>
    <w:rsid w:val="007D597E"/>
    <w:rsid w:val="007D656D"/>
    <w:rsid w:val="007D6AFB"/>
    <w:rsid w:val="007E1482"/>
    <w:rsid w:val="007E1980"/>
    <w:rsid w:val="007E1E19"/>
    <w:rsid w:val="007E2D2B"/>
    <w:rsid w:val="007E4B76"/>
    <w:rsid w:val="007E5528"/>
    <w:rsid w:val="007E5D48"/>
    <w:rsid w:val="007E5EA8"/>
    <w:rsid w:val="007E68B2"/>
    <w:rsid w:val="007F04B4"/>
    <w:rsid w:val="007F0CF1"/>
    <w:rsid w:val="007F0D14"/>
    <w:rsid w:val="007F12A5"/>
    <w:rsid w:val="007F18AC"/>
    <w:rsid w:val="007F24E4"/>
    <w:rsid w:val="007F3073"/>
    <w:rsid w:val="007F355F"/>
    <w:rsid w:val="007F46CD"/>
    <w:rsid w:val="007F4B3C"/>
    <w:rsid w:val="007F4CF1"/>
    <w:rsid w:val="007F619C"/>
    <w:rsid w:val="007F758D"/>
    <w:rsid w:val="007F7D52"/>
    <w:rsid w:val="0080220F"/>
    <w:rsid w:val="00802239"/>
    <w:rsid w:val="00804DB9"/>
    <w:rsid w:val="008057A5"/>
    <w:rsid w:val="0080654C"/>
    <w:rsid w:val="00806E69"/>
    <w:rsid w:val="008071A7"/>
    <w:rsid w:val="008071C6"/>
    <w:rsid w:val="00807F5A"/>
    <w:rsid w:val="00810492"/>
    <w:rsid w:val="00810B99"/>
    <w:rsid w:val="00811544"/>
    <w:rsid w:val="00811C6F"/>
    <w:rsid w:val="00811F8E"/>
    <w:rsid w:val="008142E8"/>
    <w:rsid w:val="008157BE"/>
    <w:rsid w:val="00815B21"/>
    <w:rsid w:val="00816FF9"/>
    <w:rsid w:val="00817092"/>
    <w:rsid w:val="00817934"/>
    <w:rsid w:val="00817A00"/>
    <w:rsid w:val="00821595"/>
    <w:rsid w:val="00822DE5"/>
    <w:rsid w:val="00823ED5"/>
    <w:rsid w:val="008270B4"/>
    <w:rsid w:val="00831172"/>
    <w:rsid w:val="00831B47"/>
    <w:rsid w:val="00831B71"/>
    <w:rsid w:val="0083313B"/>
    <w:rsid w:val="00834A6A"/>
    <w:rsid w:val="00835DB3"/>
    <w:rsid w:val="00836107"/>
    <w:rsid w:val="0083617B"/>
    <w:rsid w:val="008364AF"/>
    <w:rsid w:val="00836837"/>
    <w:rsid w:val="008371BD"/>
    <w:rsid w:val="008373BD"/>
    <w:rsid w:val="00841607"/>
    <w:rsid w:val="008429CB"/>
    <w:rsid w:val="00843BFA"/>
    <w:rsid w:val="0084446D"/>
    <w:rsid w:val="008467A8"/>
    <w:rsid w:val="008476DF"/>
    <w:rsid w:val="008504A8"/>
    <w:rsid w:val="0085282E"/>
    <w:rsid w:val="008530F1"/>
    <w:rsid w:val="00854F2F"/>
    <w:rsid w:val="00854F76"/>
    <w:rsid w:val="00860DD9"/>
    <w:rsid w:val="00860E99"/>
    <w:rsid w:val="0086118A"/>
    <w:rsid w:val="008614A3"/>
    <w:rsid w:val="00861534"/>
    <w:rsid w:val="00862D13"/>
    <w:rsid w:val="0086391A"/>
    <w:rsid w:val="00866B24"/>
    <w:rsid w:val="0087198C"/>
    <w:rsid w:val="00872308"/>
    <w:rsid w:val="00872AF7"/>
    <w:rsid w:val="00872C1F"/>
    <w:rsid w:val="00873B42"/>
    <w:rsid w:val="00873CFE"/>
    <w:rsid w:val="00874181"/>
    <w:rsid w:val="00876F03"/>
    <w:rsid w:val="0088231B"/>
    <w:rsid w:val="00882496"/>
    <w:rsid w:val="008856D8"/>
    <w:rsid w:val="008857DE"/>
    <w:rsid w:val="0089165A"/>
    <w:rsid w:val="00891BAE"/>
    <w:rsid w:val="00892E82"/>
    <w:rsid w:val="00893697"/>
    <w:rsid w:val="00895F03"/>
    <w:rsid w:val="0089715B"/>
    <w:rsid w:val="008A08C8"/>
    <w:rsid w:val="008A156A"/>
    <w:rsid w:val="008A262E"/>
    <w:rsid w:val="008A2A54"/>
    <w:rsid w:val="008A645E"/>
    <w:rsid w:val="008A745C"/>
    <w:rsid w:val="008A7543"/>
    <w:rsid w:val="008A7F66"/>
    <w:rsid w:val="008B57EC"/>
    <w:rsid w:val="008B641E"/>
    <w:rsid w:val="008C01F8"/>
    <w:rsid w:val="008C1B58"/>
    <w:rsid w:val="008C214C"/>
    <w:rsid w:val="008C330E"/>
    <w:rsid w:val="008C39AE"/>
    <w:rsid w:val="008C50D1"/>
    <w:rsid w:val="008C590D"/>
    <w:rsid w:val="008D150A"/>
    <w:rsid w:val="008D1F35"/>
    <w:rsid w:val="008D26DD"/>
    <w:rsid w:val="008D392F"/>
    <w:rsid w:val="008D7D89"/>
    <w:rsid w:val="008E0254"/>
    <w:rsid w:val="008E031B"/>
    <w:rsid w:val="008E3C3D"/>
    <w:rsid w:val="008E3D4D"/>
    <w:rsid w:val="008E48F1"/>
    <w:rsid w:val="008E6D69"/>
    <w:rsid w:val="008E7029"/>
    <w:rsid w:val="008E77AD"/>
    <w:rsid w:val="008E7DFD"/>
    <w:rsid w:val="008E7EF6"/>
    <w:rsid w:val="008F1F98"/>
    <w:rsid w:val="008F37A8"/>
    <w:rsid w:val="008F66EA"/>
    <w:rsid w:val="008F6758"/>
    <w:rsid w:val="00901E03"/>
    <w:rsid w:val="009040DD"/>
    <w:rsid w:val="0090466A"/>
    <w:rsid w:val="00904798"/>
    <w:rsid w:val="00905B47"/>
    <w:rsid w:val="00907CE3"/>
    <w:rsid w:val="009102F7"/>
    <w:rsid w:val="0091043F"/>
    <w:rsid w:val="0091331C"/>
    <w:rsid w:val="00914617"/>
    <w:rsid w:val="00916180"/>
    <w:rsid w:val="00917376"/>
    <w:rsid w:val="009205E5"/>
    <w:rsid w:val="00922365"/>
    <w:rsid w:val="00922A11"/>
    <w:rsid w:val="00923FCA"/>
    <w:rsid w:val="0092483E"/>
    <w:rsid w:val="00924A12"/>
    <w:rsid w:val="00924E4A"/>
    <w:rsid w:val="00924F54"/>
    <w:rsid w:val="00926E66"/>
    <w:rsid w:val="00927136"/>
    <w:rsid w:val="0092734F"/>
    <w:rsid w:val="009279DE"/>
    <w:rsid w:val="00927E33"/>
    <w:rsid w:val="00930116"/>
    <w:rsid w:val="009314F7"/>
    <w:rsid w:val="00931A4B"/>
    <w:rsid w:val="0093214D"/>
    <w:rsid w:val="0093253A"/>
    <w:rsid w:val="00932E1F"/>
    <w:rsid w:val="00933BF1"/>
    <w:rsid w:val="00934B3B"/>
    <w:rsid w:val="009358FF"/>
    <w:rsid w:val="00937B23"/>
    <w:rsid w:val="00937D95"/>
    <w:rsid w:val="0094202F"/>
    <w:rsid w:val="0094212C"/>
    <w:rsid w:val="00942518"/>
    <w:rsid w:val="00946195"/>
    <w:rsid w:val="009476F0"/>
    <w:rsid w:val="00950CDC"/>
    <w:rsid w:val="00952A9F"/>
    <w:rsid w:val="00953EF9"/>
    <w:rsid w:val="00954689"/>
    <w:rsid w:val="00956BC2"/>
    <w:rsid w:val="00957294"/>
    <w:rsid w:val="00960F05"/>
    <w:rsid w:val="009617C9"/>
    <w:rsid w:val="00961C93"/>
    <w:rsid w:val="00964EAC"/>
    <w:rsid w:val="00965324"/>
    <w:rsid w:val="00965AEC"/>
    <w:rsid w:val="00966B9B"/>
    <w:rsid w:val="00966E9A"/>
    <w:rsid w:val="00967A86"/>
    <w:rsid w:val="0097091E"/>
    <w:rsid w:val="009713FE"/>
    <w:rsid w:val="009733D5"/>
    <w:rsid w:val="00973547"/>
    <w:rsid w:val="00973CCB"/>
    <w:rsid w:val="009744D3"/>
    <w:rsid w:val="00974508"/>
    <w:rsid w:val="00974FBD"/>
    <w:rsid w:val="009760D3"/>
    <w:rsid w:val="00976113"/>
    <w:rsid w:val="00976A71"/>
    <w:rsid w:val="00976C94"/>
    <w:rsid w:val="00977132"/>
    <w:rsid w:val="009776B4"/>
    <w:rsid w:val="00980003"/>
    <w:rsid w:val="0098067E"/>
    <w:rsid w:val="00981A4B"/>
    <w:rsid w:val="00982501"/>
    <w:rsid w:val="0098279A"/>
    <w:rsid w:val="00982D2A"/>
    <w:rsid w:val="009831D0"/>
    <w:rsid w:val="00984A17"/>
    <w:rsid w:val="009854DA"/>
    <w:rsid w:val="00987324"/>
    <w:rsid w:val="009877D3"/>
    <w:rsid w:val="00987899"/>
    <w:rsid w:val="00987DE2"/>
    <w:rsid w:val="00990C3A"/>
    <w:rsid w:val="009931E2"/>
    <w:rsid w:val="00993907"/>
    <w:rsid w:val="00994235"/>
    <w:rsid w:val="00994E8F"/>
    <w:rsid w:val="009951AA"/>
    <w:rsid w:val="009951DC"/>
    <w:rsid w:val="00995362"/>
    <w:rsid w:val="009959BB"/>
    <w:rsid w:val="00997158"/>
    <w:rsid w:val="009A1351"/>
    <w:rsid w:val="009A3A7C"/>
    <w:rsid w:val="009A4292"/>
    <w:rsid w:val="009A6296"/>
    <w:rsid w:val="009B1FD3"/>
    <w:rsid w:val="009B2ADB"/>
    <w:rsid w:val="009B392D"/>
    <w:rsid w:val="009B4667"/>
    <w:rsid w:val="009B5C1C"/>
    <w:rsid w:val="009B603A"/>
    <w:rsid w:val="009C2D0E"/>
    <w:rsid w:val="009C32C4"/>
    <w:rsid w:val="009C3DAC"/>
    <w:rsid w:val="009C42E0"/>
    <w:rsid w:val="009C481E"/>
    <w:rsid w:val="009C4B24"/>
    <w:rsid w:val="009C55FC"/>
    <w:rsid w:val="009C6173"/>
    <w:rsid w:val="009C7ACF"/>
    <w:rsid w:val="009D05DC"/>
    <w:rsid w:val="009D0F5C"/>
    <w:rsid w:val="009D12D9"/>
    <w:rsid w:val="009D13F9"/>
    <w:rsid w:val="009D170B"/>
    <w:rsid w:val="009D2FEF"/>
    <w:rsid w:val="009D3824"/>
    <w:rsid w:val="009D5362"/>
    <w:rsid w:val="009D5F06"/>
    <w:rsid w:val="009E057C"/>
    <w:rsid w:val="009E1415"/>
    <w:rsid w:val="009E26E8"/>
    <w:rsid w:val="009E30D0"/>
    <w:rsid w:val="009E56B4"/>
    <w:rsid w:val="009E6116"/>
    <w:rsid w:val="009E6251"/>
    <w:rsid w:val="009E66D2"/>
    <w:rsid w:val="009E7563"/>
    <w:rsid w:val="009E7BBC"/>
    <w:rsid w:val="009F0EF0"/>
    <w:rsid w:val="009F13CD"/>
    <w:rsid w:val="009F1BE5"/>
    <w:rsid w:val="009F2B2F"/>
    <w:rsid w:val="009F37C6"/>
    <w:rsid w:val="009F5234"/>
    <w:rsid w:val="009F7703"/>
    <w:rsid w:val="00A00617"/>
    <w:rsid w:val="00A00E0E"/>
    <w:rsid w:val="00A01290"/>
    <w:rsid w:val="00A018E7"/>
    <w:rsid w:val="00A01D58"/>
    <w:rsid w:val="00A02A96"/>
    <w:rsid w:val="00A02E43"/>
    <w:rsid w:val="00A036D8"/>
    <w:rsid w:val="00A05155"/>
    <w:rsid w:val="00A065F9"/>
    <w:rsid w:val="00A06D0B"/>
    <w:rsid w:val="00A07F34"/>
    <w:rsid w:val="00A11DAC"/>
    <w:rsid w:val="00A1715B"/>
    <w:rsid w:val="00A17446"/>
    <w:rsid w:val="00A17B21"/>
    <w:rsid w:val="00A2128D"/>
    <w:rsid w:val="00A22154"/>
    <w:rsid w:val="00A22F8A"/>
    <w:rsid w:val="00A245A8"/>
    <w:rsid w:val="00A257D7"/>
    <w:rsid w:val="00A25C38"/>
    <w:rsid w:val="00A263E1"/>
    <w:rsid w:val="00A27631"/>
    <w:rsid w:val="00A3079E"/>
    <w:rsid w:val="00A31034"/>
    <w:rsid w:val="00A31B5F"/>
    <w:rsid w:val="00A32629"/>
    <w:rsid w:val="00A330F4"/>
    <w:rsid w:val="00A331CD"/>
    <w:rsid w:val="00A338EB"/>
    <w:rsid w:val="00A3437F"/>
    <w:rsid w:val="00A36745"/>
    <w:rsid w:val="00A36BBE"/>
    <w:rsid w:val="00A402D7"/>
    <w:rsid w:val="00A4307A"/>
    <w:rsid w:val="00A443B0"/>
    <w:rsid w:val="00A4489A"/>
    <w:rsid w:val="00A47EBB"/>
    <w:rsid w:val="00A519CF"/>
    <w:rsid w:val="00A51AE1"/>
    <w:rsid w:val="00A51CDD"/>
    <w:rsid w:val="00A52733"/>
    <w:rsid w:val="00A52DD6"/>
    <w:rsid w:val="00A53375"/>
    <w:rsid w:val="00A533F7"/>
    <w:rsid w:val="00A55942"/>
    <w:rsid w:val="00A56670"/>
    <w:rsid w:val="00A5682F"/>
    <w:rsid w:val="00A56BE1"/>
    <w:rsid w:val="00A57318"/>
    <w:rsid w:val="00A6228D"/>
    <w:rsid w:val="00A6293F"/>
    <w:rsid w:val="00A642FF"/>
    <w:rsid w:val="00A6440F"/>
    <w:rsid w:val="00A66940"/>
    <w:rsid w:val="00A6730D"/>
    <w:rsid w:val="00A71625"/>
    <w:rsid w:val="00A71B9B"/>
    <w:rsid w:val="00A724DF"/>
    <w:rsid w:val="00A72B9A"/>
    <w:rsid w:val="00A7388F"/>
    <w:rsid w:val="00A7474C"/>
    <w:rsid w:val="00A751C7"/>
    <w:rsid w:val="00A75A49"/>
    <w:rsid w:val="00A80A58"/>
    <w:rsid w:val="00A81478"/>
    <w:rsid w:val="00A81EAE"/>
    <w:rsid w:val="00A833C7"/>
    <w:rsid w:val="00A8500B"/>
    <w:rsid w:val="00A87844"/>
    <w:rsid w:val="00A966E3"/>
    <w:rsid w:val="00A97D9C"/>
    <w:rsid w:val="00AA01B8"/>
    <w:rsid w:val="00AA038C"/>
    <w:rsid w:val="00AA27A4"/>
    <w:rsid w:val="00AA39C2"/>
    <w:rsid w:val="00AA44DD"/>
    <w:rsid w:val="00AA4F6D"/>
    <w:rsid w:val="00AA5CC1"/>
    <w:rsid w:val="00AA77E0"/>
    <w:rsid w:val="00AA79B8"/>
    <w:rsid w:val="00AA7A09"/>
    <w:rsid w:val="00AB0549"/>
    <w:rsid w:val="00AB08D4"/>
    <w:rsid w:val="00AB225D"/>
    <w:rsid w:val="00AB3B50"/>
    <w:rsid w:val="00AB57C8"/>
    <w:rsid w:val="00AB5CAC"/>
    <w:rsid w:val="00AB7FB2"/>
    <w:rsid w:val="00AC05B1"/>
    <w:rsid w:val="00AC0A77"/>
    <w:rsid w:val="00AC143D"/>
    <w:rsid w:val="00AC1F0D"/>
    <w:rsid w:val="00AC35A7"/>
    <w:rsid w:val="00AC37A8"/>
    <w:rsid w:val="00AC4B41"/>
    <w:rsid w:val="00AC58C8"/>
    <w:rsid w:val="00AC6126"/>
    <w:rsid w:val="00AC7421"/>
    <w:rsid w:val="00AD1FEB"/>
    <w:rsid w:val="00AD249B"/>
    <w:rsid w:val="00AD356C"/>
    <w:rsid w:val="00AD60B5"/>
    <w:rsid w:val="00AD6883"/>
    <w:rsid w:val="00AD6954"/>
    <w:rsid w:val="00AD6DBF"/>
    <w:rsid w:val="00AD7244"/>
    <w:rsid w:val="00AE0AE9"/>
    <w:rsid w:val="00AE0CDC"/>
    <w:rsid w:val="00AE0DBA"/>
    <w:rsid w:val="00AE17D9"/>
    <w:rsid w:val="00AE2914"/>
    <w:rsid w:val="00AE45DB"/>
    <w:rsid w:val="00AE6D15"/>
    <w:rsid w:val="00AF3C75"/>
    <w:rsid w:val="00AF54F9"/>
    <w:rsid w:val="00AF6BEA"/>
    <w:rsid w:val="00B020EA"/>
    <w:rsid w:val="00B04182"/>
    <w:rsid w:val="00B0438C"/>
    <w:rsid w:val="00B05E80"/>
    <w:rsid w:val="00B06B5F"/>
    <w:rsid w:val="00B06CA5"/>
    <w:rsid w:val="00B06ED8"/>
    <w:rsid w:val="00B07189"/>
    <w:rsid w:val="00B07AE3"/>
    <w:rsid w:val="00B10515"/>
    <w:rsid w:val="00B11430"/>
    <w:rsid w:val="00B126F3"/>
    <w:rsid w:val="00B12E8F"/>
    <w:rsid w:val="00B12E9E"/>
    <w:rsid w:val="00B131AB"/>
    <w:rsid w:val="00B13CA0"/>
    <w:rsid w:val="00B1411F"/>
    <w:rsid w:val="00B150C5"/>
    <w:rsid w:val="00B15654"/>
    <w:rsid w:val="00B15849"/>
    <w:rsid w:val="00B15862"/>
    <w:rsid w:val="00B22235"/>
    <w:rsid w:val="00B227B7"/>
    <w:rsid w:val="00B2339B"/>
    <w:rsid w:val="00B30C54"/>
    <w:rsid w:val="00B313CE"/>
    <w:rsid w:val="00B31D70"/>
    <w:rsid w:val="00B32A69"/>
    <w:rsid w:val="00B32FCC"/>
    <w:rsid w:val="00B33228"/>
    <w:rsid w:val="00B3350F"/>
    <w:rsid w:val="00B353EB"/>
    <w:rsid w:val="00B35842"/>
    <w:rsid w:val="00B35897"/>
    <w:rsid w:val="00B41177"/>
    <w:rsid w:val="00B433EF"/>
    <w:rsid w:val="00B439C4"/>
    <w:rsid w:val="00B44DEF"/>
    <w:rsid w:val="00B44F51"/>
    <w:rsid w:val="00B4535E"/>
    <w:rsid w:val="00B45FA0"/>
    <w:rsid w:val="00B50A49"/>
    <w:rsid w:val="00B50A86"/>
    <w:rsid w:val="00B512A1"/>
    <w:rsid w:val="00B515A4"/>
    <w:rsid w:val="00B51C50"/>
    <w:rsid w:val="00B51D98"/>
    <w:rsid w:val="00B52A8C"/>
    <w:rsid w:val="00B53662"/>
    <w:rsid w:val="00B54F8E"/>
    <w:rsid w:val="00B61422"/>
    <w:rsid w:val="00B6205B"/>
    <w:rsid w:val="00B636A8"/>
    <w:rsid w:val="00B65D2B"/>
    <w:rsid w:val="00B660CA"/>
    <w:rsid w:val="00B66389"/>
    <w:rsid w:val="00B664C0"/>
    <w:rsid w:val="00B665C6"/>
    <w:rsid w:val="00B67996"/>
    <w:rsid w:val="00B70D39"/>
    <w:rsid w:val="00B71C6F"/>
    <w:rsid w:val="00B71DA7"/>
    <w:rsid w:val="00B73DF2"/>
    <w:rsid w:val="00B745F4"/>
    <w:rsid w:val="00B755BD"/>
    <w:rsid w:val="00B75E59"/>
    <w:rsid w:val="00B76C6D"/>
    <w:rsid w:val="00B77563"/>
    <w:rsid w:val="00B77CC7"/>
    <w:rsid w:val="00B805AF"/>
    <w:rsid w:val="00B8301A"/>
    <w:rsid w:val="00B8442D"/>
    <w:rsid w:val="00B84730"/>
    <w:rsid w:val="00B8698C"/>
    <w:rsid w:val="00B869EC"/>
    <w:rsid w:val="00B9188A"/>
    <w:rsid w:val="00B9397A"/>
    <w:rsid w:val="00B93F61"/>
    <w:rsid w:val="00B9485F"/>
    <w:rsid w:val="00B956E2"/>
    <w:rsid w:val="00B95BD8"/>
    <w:rsid w:val="00B9633D"/>
    <w:rsid w:val="00BA120F"/>
    <w:rsid w:val="00BA1460"/>
    <w:rsid w:val="00BA2EBE"/>
    <w:rsid w:val="00BA4D75"/>
    <w:rsid w:val="00BA5A5E"/>
    <w:rsid w:val="00BA630C"/>
    <w:rsid w:val="00BA692B"/>
    <w:rsid w:val="00BB0F28"/>
    <w:rsid w:val="00BB10C1"/>
    <w:rsid w:val="00BB1613"/>
    <w:rsid w:val="00BB21ED"/>
    <w:rsid w:val="00BB4303"/>
    <w:rsid w:val="00BB458A"/>
    <w:rsid w:val="00BB4DCD"/>
    <w:rsid w:val="00BB5A5C"/>
    <w:rsid w:val="00BB7DA8"/>
    <w:rsid w:val="00BC08C8"/>
    <w:rsid w:val="00BC2B57"/>
    <w:rsid w:val="00BC2DB0"/>
    <w:rsid w:val="00BC328E"/>
    <w:rsid w:val="00BC3CA4"/>
    <w:rsid w:val="00BC431E"/>
    <w:rsid w:val="00BC43B7"/>
    <w:rsid w:val="00BC4D86"/>
    <w:rsid w:val="00BC5053"/>
    <w:rsid w:val="00BC5333"/>
    <w:rsid w:val="00BC59F4"/>
    <w:rsid w:val="00BD00D3"/>
    <w:rsid w:val="00BD02E7"/>
    <w:rsid w:val="00BD0D41"/>
    <w:rsid w:val="00BD1659"/>
    <w:rsid w:val="00BD18CC"/>
    <w:rsid w:val="00BD2A88"/>
    <w:rsid w:val="00BD2A96"/>
    <w:rsid w:val="00BD3AA9"/>
    <w:rsid w:val="00BD4A18"/>
    <w:rsid w:val="00BD4F2B"/>
    <w:rsid w:val="00BD6B86"/>
    <w:rsid w:val="00BD6DB2"/>
    <w:rsid w:val="00BD7186"/>
    <w:rsid w:val="00BD7210"/>
    <w:rsid w:val="00BE103D"/>
    <w:rsid w:val="00BE11CF"/>
    <w:rsid w:val="00BE19C8"/>
    <w:rsid w:val="00BE21AB"/>
    <w:rsid w:val="00BE3668"/>
    <w:rsid w:val="00BE3744"/>
    <w:rsid w:val="00BE4CE4"/>
    <w:rsid w:val="00BE55CB"/>
    <w:rsid w:val="00BE55D3"/>
    <w:rsid w:val="00BE754B"/>
    <w:rsid w:val="00BE7B48"/>
    <w:rsid w:val="00BF14F3"/>
    <w:rsid w:val="00BF2A8D"/>
    <w:rsid w:val="00BF38EC"/>
    <w:rsid w:val="00BF617A"/>
    <w:rsid w:val="00BF6DB5"/>
    <w:rsid w:val="00BF7D8C"/>
    <w:rsid w:val="00C032DE"/>
    <w:rsid w:val="00C0379D"/>
    <w:rsid w:val="00C03931"/>
    <w:rsid w:val="00C05FE3"/>
    <w:rsid w:val="00C0628D"/>
    <w:rsid w:val="00C1010B"/>
    <w:rsid w:val="00C10454"/>
    <w:rsid w:val="00C106A3"/>
    <w:rsid w:val="00C10AC7"/>
    <w:rsid w:val="00C129C6"/>
    <w:rsid w:val="00C14573"/>
    <w:rsid w:val="00C14DBF"/>
    <w:rsid w:val="00C15E54"/>
    <w:rsid w:val="00C16B29"/>
    <w:rsid w:val="00C17BDB"/>
    <w:rsid w:val="00C203AE"/>
    <w:rsid w:val="00C206F1"/>
    <w:rsid w:val="00C20C65"/>
    <w:rsid w:val="00C20DB0"/>
    <w:rsid w:val="00C2136D"/>
    <w:rsid w:val="00C214EE"/>
    <w:rsid w:val="00C22C16"/>
    <w:rsid w:val="00C2314B"/>
    <w:rsid w:val="00C24602"/>
    <w:rsid w:val="00C24971"/>
    <w:rsid w:val="00C24E1D"/>
    <w:rsid w:val="00C256E3"/>
    <w:rsid w:val="00C25A00"/>
    <w:rsid w:val="00C26BE5"/>
    <w:rsid w:val="00C26E4D"/>
    <w:rsid w:val="00C26F8D"/>
    <w:rsid w:val="00C27705"/>
    <w:rsid w:val="00C27909"/>
    <w:rsid w:val="00C27B03"/>
    <w:rsid w:val="00C3005C"/>
    <w:rsid w:val="00C30985"/>
    <w:rsid w:val="00C314E1"/>
    <w:rsid w:val="00C32639"/>
    <w:rsid w:val="00C33F1D"/>
    <w:rsid w:val="00C34397"/>
    <w:rsid w:val="00C4095D"/>
    <w:rsid w:val="00C413D4"/>
    <w:rsid w:val="00C42685"/>
    <w:rsid w:val="00C437B0"/>
    <w:rsid w:val="00C44971"/>
    <w:rsid w:val="00C44CD5"/>
    <w:rsid w:val="00C46CB4"/>
    <w:rsid w:val="00C5008A"/>
    <w:rsid w:val="00C50C81"/>
    <w:rsid w:val="00C54672"/>
    <w:rsid w:val="00C5533B"/>
    <w:rsid w:val="00C56872"/>
    <w:rsid w:val="00C601D2"/>
    <w:rsid w:val="00C609F3"/>
    <w:rsid w:val="00C61AC6"/>
    <w:rsid w:val="00C61E3B"/>
    <w:rsid w:val="00C62DE5"/>
    <w:rsid w:val="00C65B30"/>
    <w:rsid w:val="00C65BCC"/>
    <w:rsid w:val="00C66970"/>
    <w:rsid w:val="00C67C3B"/>
    <w:rsid w:val="00C67DAE"/>
    <w:rsid w:val="00C70E86"/>
    <w:rsid w:val="00C7202D"/>
    <w:rsid w:val="00C72EC1"/>
    <w:rsid w:val="00C7303D"/>
    <w:rsid w:val="00C76D28"/>
    <w:rsid w:val="00C77811"/>
    <w:rsid w:val="00C81C94"/>
    <w:rsid w:val="00C81E45"/>
    <w:rsid w:val="00C823DE"/>
    <w:rsid w:val="00C829B3"/>
    <w:rsid w:val="00C830ED"/>
    <w:rsid w:val="00C839C8"/>
    <w:rsid w:val="00C83C96"/>
    <w:rsid w:val="00C8691C"/>
    <w:rsid w:val="00C86967"/>
    <w:rsid w:val="00C901BB"/>
    <w:rsid w:val="00C9111D"/>
    <w:rsid w:val="00C91A2A"/>
    <w:rsid w:val="00C948D8"/>
    <w:rsid w:val="00C958DA"/>
    <w:rsid w:val="00C97454"/>
    <w:rsid w:val="00C97709"/>
    <w:rsid w:val="00CA13E1"/>
    <w:rsid w:val="00CA168A"/>
    <w:rsid w:val="00CA19F7"/>
    <w:rsid w:val="00CA23D7"/>
    <w:rsid w:val="00CA357E"/>
    <w:rsid w:val="00CA44F9"/>
    <w:rsid w:val="00CA4A69"/>
    <w:rsid w:val="00CA6E70"/>
    <w:rsid w:val="00CA74CB"/>
    <w:rsid w:val="00CB44D3"/>
    <w:rsid w:val="00CB44D6"/>
    <w:rsid w:val="00CB51D3"/>
    <w:rsid w:val="00CB5AC1"/>
    <w:rsid w:val="00CB5CF3"/>
    <w:rsid w:val="00CB731B"/>
    <w:rsid w:val="00CC2C6C"/>
    <w:rsid w:val="00CC3DC3"/>
    <w:rsid w:val="00CC3E0C"/>
    <w:rsid w:val="00CC4BA0"/>
    <w:rsid w:val="00CC55AB"/>
    <w:rsid w:val="00CC58D3"/>
    <w:rsid w:val="00CC5B04"/>
    <w:rsid w:val="00CC5F9B"/>
    <w:rsid w:val="00CC784D"/>
    <w:rsid w:val="00CD0980"/>
    <w:rsid w:val="00CD3373"/>
    <w:rsid w:val="00CD41B9"/>
    <w:rsid w:val="00CD5936"/>
    <w:rsid w:val="00CE1330"/>
    <w:rsid w:val="00CE2735"/>
    <w:rsid w:val="00CE2CD5"/>
    <w:rsid w:val="00CE2D99"/>
    <w:rsid w:val="00CE3109"/>
    <w:rsid w:val="00CE3E69"/>
    <w:rsid w:val="00CE5922"/>
    <w:rsid w:val="00CE5DD7"/>
    <w:rsid w:val="00CE5E0C"/>
    <w:rsid w:val="00CE69B4"/>
    <w:rsid w:val="00CE7266"/>
    <w:rsid w:val="00CE75A4"/>
    <w:rsid w:val="00CF1246"/>
    <w:rsid w:val="00CF177B"/>
    <w:rsid w:val="00CF3C2F"/>
    <w:rsid w:val="00CF4FA5"/>
    <w:rsid w:val="00CF50D0"/>
    <w:rsid w:val="00D00D41"/>
    <w:rsid w:val="00D00E30"/>
    <w:rsid w:val="00D01C26"/>
    <w:rsid w:val="00D0337B"/>
    <w:rsid w:val="00D079B2"/>
    <w:rsid w:val="00D10392"/>
    <w:rsid w:val="00D114E9"/>
    <w:rsid w:val="00D145EA"/>
    <w:rsid w:val="00D15501"/>
    <w:rsid w:val="00D15532"/>
    <w:rsid w:val="00D16069"/>
    <w:rsid w:val="00D20760"/>
    <w:rsid w:val="00D21747"/>
    <w:rsid w:val="00D24C89"/>
    <w:rsid w:val="00D25F54"/>
    <w:rsid w:val="00D26CC9"/>
    <w:rsid w:val="00D2743A"/>
    <w:rsid w:val="00D301C1"/>
    <w:rsid w:val="00D306B9"/>
    <w:rsid w:val="00D31C7C"/>
    <w:rsid w:val="00D32143"/>
    <w:rsid w:val="00D327E5"/>
    <w:rsid w:val="00D36545"/>
    <w:rsid w:val="00D36F0A"/>
    <w:rsid w:val="00D41C23"/>
    <w:rsid w:val="00D429C6"/>
    <w:rsid w:val="00D46859"/>
    <w:rsid w:val="00D46A65"/>
    <w:rsid w:val="00D46DD5"/>
    <w:rsid w:val="00D47748"/>
    <w:rsid w:val="00D51A64"/>
    <w:rsid w:val="00D51F15"/>
    <w:rsid w:val="00D52344"/>
    <w:rsid w:val="00D537F8"/>
    <w:rsid w:val="00D549C3"/>
    <w:rsid w:val="00D54CC3"/>
    <w:rsid w:val="00D56E03"/>
    <w:rsid w:val="00D574F9"/>
    <w:rsid w:val="00D57977"/>
    <w:rsid w:val="00D6041A"/>
    <w:rsid w:val="00D6300F"/>
    <w:rsid w:val="00D633EB"/>
    <w:rsid w:val="00D642E9"/>
    <w:rsid w:val="00D64834"/>
    <w:rsid w:val="00D655DD"/>
    <w:rsid w:val="00D7134F"/>
    <w:rsid w:val="00D751DF"/>
    <w:rsid w:val="00D77DED"/>
    <w:rsid w:val="00D80AC5"/>
    <w:rsid w:val="00D81224"/>
    <w:rsid w:val="00D82FF7"/>
    <w:rsid w:val="00D83722"/>
    <w:rsid w:val="00D847FE"/>
    <w:rsid w:val="00D84902"/>
    <w:rsid w:val="00D857E8"/>
    <w:rsid w:val="00D860C9"/>
    <w:rsid w:val="00D87A3B"/>
    <w:rsid w:val="00D9001B"/>
    <w:rsid w:val="00D923C8"/>
    <w:rsid w:val="00D92F8C"/>
    <w:rsid w:val="00D93662"/>
    <w:rsid w:val="00D95DB4"/>
    <w:rsid w:val="00D964EA"/>
    <w:rsid w:val="00D966D0"/>
    <w:rsid w:val="00D97C12"/>
    <w:rsid w:val="00DA0C59"/>
    <w:rsid w:val="00DA1CC6"/>
    <w:rsid w:val="00DA363F"/>
    <w:rsid w:val="00DA3991"/>
    <w:rsid w:val="00DA3F0A"/>
    <w:rsid w:val="00DA487B"/>
    <w:rsid w:val="00DA6856"/>
    <w:rsid w:val="00DA74C7"/>
    <w:rsid w:val="00DA7BB6"/>
    <w:rsid w:val="00DB0E09"/>
    <w:rsid w:val="00DB3C02"/>
    <w:rsid w:val="00DB466E"/>
    <w:rsid w:val="00DB4D93"/>
    <w:rsid w:val="00DB6C6F"/>
    <w:rsid w:val="00DB6C90"/>
    <w:rsid w:val="00DB6F28"/>
    <w:rsid w:val="00DB7E6C"/>
    <w:rsid w:val="00DC03A8"/>
    <w:rsid w:val="00DC0588"/>
    <w:rsid w:val="00DC1EDB"/>
    <w:rsid w:val="00DC2DF5"/>
    <w:rsid w:val="00DC51A8"/>
    <w:rsid w:val="00DC5FE4"/>
    <w:rsid w:val="00DC7E21"/>
    <w:rsid w:val="00DD0D9C"/>
    <w:rsid w:val="00DD3145"/>
    <w:rsid w:val="00DD34DB"/>
    <w:rsid w:val="00DD3753"/>
    <w:rsid w:val="00DD3AC5"/>
    <w:rsid w:val="00DD4191"/>
    <w:rsid w:val="00DD4299"/>
    <w:rsid w:val="00DD42F1"/>
    <w:rsid w:val="00DD4E1D"/>
    <w:rsid w:val="00DD5515"/>
    <w:rsid w:val="00DD5A29"/>
    <w:rsid w:val="00DD5D9D"/>
    <w:rsid w:val="00DD634D"/>
    <w:rsid w:val="00DE0411"/>
    <w:rsid w:val="00DE35CB"/>
    <w:rsid w:val="00DE381C"/>
    <w:rsid w:val="00DE3D0F"/>
    <w:rsid w:val="00DE40EF"/>
    <w:rsid w:val="00DE5079"/>
    <w:rsid w:val="00DE5EA9"/>
    <w:rsid w:val="00DE6CFA"/>
    <w:rsid w:val="00DE7454"/>
    <w:rsid w:val="00DE7577"/>
    <w:rsid w:val="00DE7EFF"/>
    <w:rsid w:val="00DF21E9"/>
    <w:rsid w:val="00DF259F"/>
    <w:rsid w:val="00DF561F"/>
    <w:rsid w:val="00DF68F5"/>
    <w:rsid w:val="00DF764D"/>
    <w:rsid w:val="00E0032F"/>
    <w:rsid w:val="00E00F14"/>
    <w:rsid w:val="00E01434"/>
    <w:rsid w:val="00E0175F"/>
    <w:rsid w:val="00E01BAF"/>
    <w:rsid w:val="00E01FB2"/>
    <w:rsid w:val="00E03261"/>
    <w:rsid w:val="00E03C37"/>
    <w:rsid w:val="00E06386"/>
    <w:rsid w:val="00E06679"/>
    <w:rsid w:val="00E07077"/>
    <w:rsid w:val="00E075D6"/>
    <w:rsid w:val="00E136F4"/>
    <w:rsid w:val="00E138D6"/>
    <w:rsid w:val="00E14224"/>
    <w:rsid w:val="00E14610"/>
    <w:rsid w:val="00E14DD9"/>
    <w:rsid w:val="00E1548A"/>
    <w:rsid w:val="00E17B78"/>
    <w:rsid w:val="00E20C71"/>
    <w:rsid w:val="00E21115"/>
    <w:rsid w:val="00E2416C"/>
    <w:rsid w:val="00E24EB4"/>
    <w:rsid w:val="00E253EE"/>
    <w:rsid w:val="00E26476"/>
    <w:rsid w:val="00E27E44"/>
    <w:rsid w:val="00E310FB"/>
    <w:rsid w:val="00E31D9F"/>
    <w:rsid w:val="00E320ED"/>
    <w:rsid w:val="00E32B62"/>
    <w:rsid w:val="00E334AD"/>
    <w:rsid w:val="00E337BB"/>
    <w:rsid w:val="00E33AFB"/>
    <w:rsid w:val="00E34218"/>
    <w:rsid w:val="00E34868"/>
    <w:rsid w:val="00E34CD6"/>
    <w:rsid w:val="00E371EE"/>
    <w:rsid w:val="00E407C1"/>
    <w:rsid w:val="00E40B07"/>
    <w:rsid w:val="00E46282"/>
    <w:rsid w:val="00E462D7"/>
    <w:rsid w:val="00E47BE3"/>
    <w:rsid w:val="00E510C2"/>
    <w:rsid w:val="00E51DEA"/>
    <w:rsid w:val="00E5216E"/>
    <w:rsid w:val="00E52625"/>
    <w:rsid w:val="00E53730"/>
    <w:rsid w:val="00E53EAE"/>
    <w:rsid w:val="00E550F2"/>
    <w:rsid w:val="00E56CF0"/>
    <w:rsid w:val="00E575F0"/>
    <w:rsid w:val="00E57CEC"/>
    <w:rsid w:val="00E64027"/>
    <w:rsid w:val="00E6403B"/>
    <w:rsid w:val="00E64CBC"/>
    <w:rsid w:val="00E659A3"/>
    <w:rsid w:val="00E66EC6"/>
    <w:rsid w:val="00E754D6"/>
    <w:rsid w:val="00E77741"/>
    <w:rsid w:val="00E77E6A"/>
    <w:rsid w:val="00E800E3"/>
    <w:rsid w:val="00E803C9"/>
    <w:rsid w:val="00E82344"/>
    <w:rsid w:val="00E831A1"/>
    <w:rsid w:val="00E83F64"/>
    <w:rsid w:val="00E8441D"/>
    <w:rsid w:val="00E84C82"/>
    <w:rsid w:val="00E84D64"/>
    <w:rsid w:val="00E87408"/>
    <w:rsid w:val="00E914C4"/>
    <w:rsid w:val="00E92017"/>
    <w:rsid w:val="00E92AA6"/>
    <w:rsid w:val="00E92E19"/>
    <w:rsid w:val="00E934F5"/>
    <w:rsid w:val="00E96961"/>
    <w:rsid w:val="00EA217B"/>
    <w:rsid w:val="00EA2291"/>
    <w:rsid w:val="00EA5BA3"/>
    <w:rsid w:val="00EA632A"/>
    <w:rsid w:val="00EA72EC"/>
    <w:rsid w:val="00EA7A0B"/>
    <w:rsid w:val="00EB11CB"/>
    <w:rsid w:val="00EB1B7C"/>
    <w:rsid w:val="00EB275A"/>
    <w:rsid w:val="00EB2EA8"/>
    <w:rsid w:val="00EB472A"/>
    <w:rsid w:val="00EB5DEA"/>
    <w:rsid w:val="00EB61A2"/>
    <w:rsid w:val="00EB659B"/>
    <w:rsid w:val="00EB786A"/>
    <w:rsid w:val="00EC011F"/>
    <w:rsid w:val="00EC0455"/>
    <w:rsid w:val="00EC1578"/>
    <w:rsid w:val="00EC1C72"/>
    <w:rsid w:val="00EC2871"/>
    <w:rsid w:val="00EC3CC9"/>
    <w:rsid w:val="00EC4592"/>
    <w:rsid w:val="00EC4C8F"/>
    <w:rsid w:val="00EC6616"/>
    <w:rsid w:val="00EC680A"/>
    <w:rsid w:val="00EC6F0A"/>
    <w:rsid w:val="00EC74D0"/>
    <w:rsid w:val="00ED0272"/>
    <w:rsid w:val="00ED080D"/>
    <w:rsid w:val="00ED0B15"/>
    <w:rsid w:val="00ED0CAA"/>
    <w:rsid w:val="00ED16B3"/>
    <w:rsid w:val="00ED41FF"/>
    <w:rsid w:val="00ED4E86"/>
    <w:rsid w:val="00ED5A9C"/>
    <w:rsid w:val="00ED7B7D"/>
    <w:rsid w:val="00EE2BED"/>
    <w:rsid w:val="00EE3017"/>
    <w:rsid w:val="00EE3237"/>
    <w:rsid w:val="00EE374B"/>
    <w:rsid w:val="00EF0E8D"/>
    <w:rsid w:val="00EF3C01"/>
    <w:rsid w:val="00EF4893"/>
    <w:rsid w:val="00EF53DF"/>
    <w:rsid w:val="00EF58D7"/>
    <w:rsid w:val="00EF7432"/>
    <w:rsid w:val="00EF773B"/>
    <w:rsid w:val="00EF7AA8"/>
    <w:rsid w:val="00F004EA"/>
    <w:rsid w:val="00F0055A"/>
    <w:rsid w:val="00F01356"/>
    <w:rsid w:val="00F029E4"/>
    <w:rsid w:val="00F05268"/>
    <w:rsid w:val="00F06E2A"/>
    <w:rsid w:val="00F070CB"/>
    <w:rsid w:val="00F0775C"/>
    <w:rsid w:val="00F108C7"/>
    <w:rsid w:val="00F11439"/>
    <w:rsid w:val="00F11BB5"/>
    <w:rsid w:val="00F11DEF"/>
    <w:rsid w:val="00F13408"/>
    <w:rsid w:val="00F1417B"/>
    <w:rsid w:val="00F158C6"/>
    <w:rsid w:val="00F20742"/>
    <w:rsid w:val="00F20F96"/>
    <w:rsid w:val="00F21A9B"/>
    <w:rsid w:val="00F22A83"/>
    <w:rsid w:val="00F23EDE"/>
    <w:rsid w:val="00F24720"/>
    <w:rsid w:val="00F2513D"/>
    <w:rsid w:val="00F259CA"/>
    <w:rsid w:val="00F27758"/>
    <w:rsid w:val="00F305F4"/>
    <w:rsid w:val="00F329F4"/>
    <w:rsid w:val="00F32B7D"/>
    <w:rsid w:val="00F33AB7"/>
    <w:rsid w:val="00F34B99"/>
    <w:rsid w:val="00F34D1D"/>
    <w:rsid w:val="00F35F96"/>
    <w:rsid w:val="00F40BCE"/>
    <w:rsid w:val="00F4111B"/>
    <w:rsid w:val="00F41D6A"/>
    <w:rsid w:val="00F428B8"/>
    <w:rsid w:val="00F4290D"/>
    <w:rsid w:val="00F44673"/>
    <w:rsid w:val="00F44790"/>
    <w:rsid w:val="00F455E0"/>
    <w:rsid w:val="00F466A6"/>
    <w:rsid w:val="00F46C23"/>
    <w:rsid w:val="00F5022E"/>
    <w:rsid w:val="00F51B0D"/>
    <w:rsid w:val="00F52DAB"/>
    <w:rsid w:val="00F5333D"/>
    <w:rsid w:val="00F538B5"/>
    <w:rsid w:val="00F543F0"/>
    <w:rsid w:val="00F5524C"/>
    <w:rsid w:val="00F55E5C"/>
    <w:rsid w:val="00F55ED3"/>
    <w:rsid w:val="00F56322"/>
    <w:rsid w:val="00F611BA"/>
    <w:rsid w:val="00F6204D"/>
    <w:rsid w:val="00F635A2"/>
    <w:rsid w:val="00F63C4D"/>
    <w:rsid w:val="00F63D32"/>
    <w:rsid w:val="00F641B7"/>
    <w:rsid w:val="00F64BE0"/>
    <w:rsid w:val="00F67A45"/>
    <w:rsid w:val="00F70A5D"/>
    <w:rsid w:val="00F70FF8"/>
    <w:rsid w:val="00F726D6"/>
    <w:rsid w:val="00F733F5"/>
    <w:rsid w:val="00F80266"/>
    <w:rsid w:val="00F80CC8"/>
    <w:rsid w:val="00F81D29"/>
    <w:rsid w:val="00F8240A"/>
    <w:rsid w:val="00F842D8"/>
    <w:rsid w:val="00F91B25"/>
    <w:rsid w:val="00F91C4D"/>
    <w:rsid w:val="00F91D53"/>
    <w:rsid w:val="00F92743"/>
    <w:rsid w:val="00F92FD9"/>
    <w:rsid w:val="00F938B5"/>
    <w:rsid w:val="00F9448D"/>
    <w:rsid w:val="00F95114"/>
    <w:rsid w:val="00F960A3"/>
    <w:rsid w:val="00F97002"/>
    <w:rsid w:val="00F973ED"/>
    <w:rsid w:val="00FA272A"/>
    <w:rsid w:val="00FA4841"/>
    <w:rsid w:val="00FA60F7"/>
    <w:rsid w:val="00FA6684"/>
    <w:rsid w:val="00FA6E65"/>
    <w:rsid w:val="00FA6E7C"/>
    <w:rsid w:val="00FA731E"/>
    <w:rsid w:val="00FB0C55"/>
    <w:rsid w:val="00FB2B38"/>
    <w:rsid w:val="00FB4A71"/>
    <w:rsid w:val="00FB4E45"/>
    <w:rsid w:val="00FB71CD"/>
    <w:rsid w:val="00FB7817"/>
    <w:rsid w:val="00FC09D1"/>
    <w:rsid w:val="00FC2294"/>
    <w:rsid w:val="00FC2878"/>
    <w:rsid w:val="00FC2C72"/>
    <w:rsid w:val="00FC2E87"/>
    <w:rsid w:val="00FC443F"/>
    <w:rsid w:val="00FC5A20"/>
    <w:rsid w:val="00FC5CFD"/>
    <w:rsid w:val="00FC6358"/>
    <w:rsid w:val="00FC7734"/>
    <w:rsid w:val="00FD0F85"/>
    <w:rsid w:val="00FD1BC9"/>
    <w:rsid w:val="00FD320D"/>
    <w:rsid w:val="00FD42E0"/>
    <w:rsid w:val="00FD47C3"/>
    <w:rsid w:val="00FD5466"/>
    <w:rsid w:val="00FD57F7"/>
    <w:rsid w:val="00FD58A8"/>
    <w:rsid w:val="00FE0397"/>
    <w:rsid w:val="00FE1EE5"/>
    <w:rsid w:val="00FE23DE"/>
    <w:rsid w:val="00FE3CD3"/>
    <w:rsid w:val="00FE5013"/>
    <w:rsid w:val="00FE559E"/>
    <w:rsid w:val="00FE5DA8"/>
    <w:rsid w:val="00FE71A3"/>
    <w:rsid w:val="00FE72B5"/>
    <w:rsid w:val="00FE75A0"/>
    <w:rsid w:val="00FE77E1"/>
    <w:rsid w:val="00FF1BAA"/>
    <w:rsid w:val="00FF3169"/>
    <w:rsid w:val="00FF510F"/>
    <w:rsid w:val="00FF6B7E"/>
    <w:rsid w:val="04992A21"/>
    <w:rsid w:val="071413A9"/>
    <w:rsid w:val="09C71FAF"/>
    <w:rsid w:val="0AC4735A"/>
    <w:rsid w:val="0B0D7A29"/>
    <w:rsid w:val="0BBE4DF8"/>
    <w:rsid w:val="0BD71366"/>
    <w:rsid w:val="104D4694"/>
    <w:rsid w:val="11236BC5"/>
    <w:rsid w:val="147B1FD7"/>
    <w:rsid w:val="14922675"/>
    <w:rsid w:val="17C65A3C"/>
    <w:rsid w:val="1A5C6F7B"/>
    <w:rsid w:val="1AB70874"/>
    <w:rsid w:val="1B530684"/>
    <w:rsid w:val="1D927B91"/>
    <w:rsid w:val="1EFF4DAB"/>
    <w:rsid w:val="26D217D2"/>
    <w:rsid w:val="279B7D4A"/>
    <w:rsid w:val="27B53AA4"/>
    <w:rsid w:val="27F2328E"/>
    <w:rsid w:val="29C1151F"/>
    <w:rsid w:val="2A756869"/>
    <w:rsid w:val="2C6632A4"/>
    <w:rsid w:val="2CB47116"/>
    <w:rsid w:val="2E0E2A3A"/>
    <w:rsid w:val="2FBA728B"/>
    <w:rsid w:val="32765FCC"/>
    <w:rsid w:val="33571701"/>
    <w:rsid w:val="343C0754"/>
    <w:rsid w:val="3611646E"/>
    <w:rsid w:val="3632560E"/>
    <w:rsid w:val="36DF1DDC"/>
    <w:rsid w:val="3F6B4F37"/>
    <w:rsid w:val="404A7E7E"/>
    <w:rsid w:val="443D66E3"/>
    <w:rsid w:val="448C05DF"/>
    <w:rsid w:val="489E0713"/>
    <w:rsid w:val="48A759E8"/>
    <w:rsid w:val="4C7B2D46"/>
    <w:rsid w:val="517C792F"/>
    <w:rsid w:val="53760DD8"/>
    <w:rsid w:val="538C05FC"/>
    <w:rsid w:val="55CC2F32"/>
    <w:rsid w:val="568B1C8B"/>
    <w:rsid w:val="5955093D"/>
    <w:rsid w:val="61301BD4"/>
    <w:rsid w:val="6148401B"/>
    <w:rsid w:val="6920600C"/>
    <w:rsid w:val="69EA7444"/>
    <w:rsid w:val="6A416177"/>
    <w:rsid w:val="6BF57BFA"/>
    <w:rsid w:val="6DC42A14"/>
    <w:rsid w:val="6FA0251F"/>
    <w:rsid w:val="703B7A51"/>
    <w:rsid w:val="706E67DF"/>
    <w:rsid w:val="70890169"/>
    <w:rsid w:val="72421D4A"/>
    <w:rsid w:val="72565C05"/>
    <w:rsid w:val="73F2002C"/>
    <w:rsid w:val="74361A1C"/>
    <w:rsid w:val="75892998"/>
    <w:rsid w:val="75E672A0"/>
    <w:rsid w:val="776E72DB"/>
    <w:rsid w:val="799501CE"/>
    <w:rsid w:val="7CBC2429"/>
    <w:rsid w:val="7D585F36"/>
    <w:rsid w:val="7E6E1F88"/>
    <w:rsid w:val="7E970BA9"/>
    <w:rsid w:val="7F0C5642"/>
    <w:rsid w:val="7F4E7027"/>
    <w:rsid w:val="7F97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144"/>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3"/>
    <w:link w:val="145"/>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75"/>
    <w:semiHidden/>
    <w:unhideWhenUsed/>
    <w:qFormat/>
    <w:uiPriority w:val="0"/>
    <w:pPr>
      <w:keepNext/>
      <w:keepLines/>
      <w:spacing w:before="260" w:after="260" w:line="416" w:lineRule="auto"/>
      <w:outlineLvl w:val="2"/>
    </w:pPr>
    <w:rPr>
      <w:b/>
      <w:bCs/>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7">
    <w:name w:val="toc 7"/>
    <w:basedOn w:val="1"/>
    <w:next w:val="1"/>
    <w:semiHidden/>
    <w:qFormat/>
    <w:uiPriority w:val="0"/>
    <w:pPr>
      <w:tabs>
        <w:tab w:val="right" w:leader="dot" w:pos="9241"/>
      </w:tabs>
      <w:ind w:firstLine="500"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176"/>
    <w:qFormat/>
    <w:uiPriority w:val="0"/>
    <w:pPr>
      <w:jc w:val="left"/>
    </w:p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0" w:firstLineChars="100"/>
      <w:jc w:val="left"/>
    </w:pPr>
    <w:rPr>
      <w:rFonts w:ascii="宋体"/>
      <w:szCs w:val="21"/>
    </w:rPr>
  </w:style>
  <w:style w:type="paragraph" w:styleId="17">
    <w:name w:val="Plain Text"/>
    <w:basedOn w:val="1"/>
    <w:link w:val="148"/>
    <w:qFormat/>
    <w:uiPriority w:val="0"/>
    <w:rPr>
      <w:rFonts w:ascii="宋体" w:hAnsi="Courier New"/>
      <w:szCs w:val="20"/>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151"/>
    <w:qFormat/>
    <w:uiPriority w:val="0"/>
    <w:pPr>
      <w:ind w:left="100" w:leftChars="2500"/>
    </w:pPr>
  </w:style>
  <w:style w:type="paragraph" w:styleId="21">
    <w:name w:val="endnote text"/>
    <w:basedOn w:val="1"/>
    <w:semiHidden/>
    <w:qFormat/>
    <w:uiPriority w:val="0"/>
    <w:pPr>
      <w:snapToGrid w:val="0"/>
      <w:jc w:val="left"/>
    </w:pPr>
  </w:style>
  <w:style w:type="paragraph" w:styleId="22">
    <w:name w:val="Balloon Text"/>
    <w:basedOn w:val="1"/>
    <w:link w:val="147"/>
    <w:qFormat/>
    <w:uiPriority w:val="0"/>
    <w:rPr>
      <w:sz w:val="18"/>
      <w:szCs w:val="18"/>
    </w:rPr>
  </w:style>
  <w:style w:type="paragraph" w:styleId="23">
    <w:name w:val="footer"/>
    <w:basedOn w:val="1"/>
    <w:link w:val="169"/>
    <w:qFormat/>
    <w:uiPriority w:val="99"/>
    <w:pPr>
      <w:snapToGrid w:val="0"/>
      <w:ind w:right="210" w:rightChars="100"/>
      <w:jc w:val="right"/>
    </w:pPr>
    <w:rPr>
      <w:sz w:val="18"/>
      <w:szCs w:val="18"/>
    </w:rPr>
  </w:style>
  <w:style w:type="paragraph" w:styleId="24">
    <w:name w:val="header"/>
    <w:basedOn w:val="1"/>
    <w:link w:val="178"/>
    <w:qFormat/>
    <w:uiPriority w:val="99"/>
    <w:pPr>
      <w:snapToGrid w:val="0"/>
      <w:jc w:val="left"/>
    </w:pPr>
    <w:rPr>
      <w:sz w:val="18"/>
      <w:szCs w:val="18"/>
    </w:rPr>
  </w:style>
  <w:style w:type="paragraph" w:styleId="25">
    <w:name w:val="toc 1"/>
    <w:basedOn w:val="1"/>
    <w:next w:val="1"/>
    <w:qFormat/>
    <w:uiPriority w:val="39"/>
    <w:pPr>
      <w:tabs>
        <w:tab w:val="right" w:leader="dot" w:pos="9242"/>
      </w:tabs>
      <w:spacing w:line="360" w:lineRule="auto"/>
      <w:jc w:val="left"/>
    </w:pPr>
    <w:rPr>
      <w:rFonts w:ascii="宋体"/>
      <w:szCs w:val="21"/>
    </w:rPr>
  </w:style>
  <w:style w:type="paragraph" w:styleId="26">
    <w:name w:val="toc 4"/>
    <w:basedOn w:val="1"/>
    <w:next w:val="1"/>
    <w:semiHidden/>
    <w:qFormat/>
    <w:uiPriority w:val="0"/>
    <w:pPr>
      <w:tabs>
        <w:tab w:val="right" w:leader="dot" w:pos="9241"/>
      </w:tabs>
      <w:ind w:firstLine="200" w:firstLineChars="200"/>
      <w:jc w:val="left"/>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29"/>
    <w:qFormat/>
    <w:uiPriority w:val="0"/>
    <w:pPr>
      <w:tabs>
        <w:tab w:val="right" w:leader="dot" w:pos="9299"/>
      </w:tabs>
      <w:jc w:val="left"/>
    </w:pPr>
    <w:rPr>
      <w:rFonts w:ascii="宋体"/>
      <w:szCs w:val="21"/>
    </w:rPr>
  </w:style>
  <w:style w:type="paragraph" w:customStyle="1" w:styleId="29">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0">
    <w:name w:val="footnote text"/>
    <w:basedOn w:val="1"/>
    <w:qFormat/>
    <w:uiPriority w:val="0"/>
    <w:pPr>
      <w:numPr>
        <w:ilvl w:val="0"/>
        <w:numId w:val="1"/>
      </w:numPr>
      <w:snapToGrid w:val="0"/>
      <w:jc w:val="left"/>
    </w:pPr>
    <w:rPr>
      <w:rFonts w:ascii="宋体"/>
      <w:sz w:val="18"/>
      <w:szCs w:val="18"/>
    </w:rPr>
  </w:style>
  <w:style w:type="paragraph" w:styleId="31">
    <w:name w:val="toc 6"/>
    <w:basedOn w:val="1"/>
    <w:next w:val="1"/>
    <w:semiHidden/>
    <w:qFormat/>
    <w:uiPriority w:val="0"/>
    <w:pPr>
      <w:tabs>
        <w:tab w:val="right" w:leader="dot" w:pos="9241"/>
      </w:tabs>
      <w:ind w:firstLine="400" w:firstLineChars="400"/>
      <w:jc w:val="left"/>
    </w:pPr>
    <w:rPr>
      <w:rFonts w:ascii="宋体"/>
      <w:szCs w:val="21"/>
    </w:rPr>
  </w:style>
  <w:style w:type="paragraph" w:styleId="32">
    <w:name w:val="Body Text Indent 3"/>
    <w:basedOn w:val="1"/>
    <w:link w:val="174"/>
    <w:qFormat/>
    <w:uiPriority w:val="0"/>
    <w:pPr>
      <w:spacing w:after="120"/>
      <w:ind w:left="420" w:leftChars="200"/>
    </w:pPr>
    <w:rPr>
      <w:sz w:val="16"/>
      <w:szCs w:val="16"/>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2"/>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2"/>
    <w:next w:val="12"/>
    <w:link w:val="177"/>
    <w:qFormat/>
    <w:uiPriority w:val="0"/>
    <w:rPr>
      <w:b/>
      <w:bCs/>
    </w:rPr>
  </w:style>
  <w:style w:type="table" w:styleId="40">
    <w:name w:val="Table Grid"/>
    <w:basedOn w:val="3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basedOn w:val="41"/>
    <w:semiHidden/>
    <w:qFormat/>
    <w:uiPriority w:val="0"/>
    <w:rPr>
      <w:vertAlign w:val="superscript"/>
    </w:rPr>
  </w:style>
  <w:style w:type="character" w:styleId="43">
    <w:name w:val="page number"/>
    <w:basedOn w:val="41"/>
    <w:qFormat/>
    <w:uiPriority w:val="0"/>
    <w:rPr>
      <w:rFonts w:ascii="Times New Roman" w:hAnsi="Times New Roman" w:eastAsia="宋体"/>
      <w:sz w:val="18"/>
    </w:rPr>
  </w:style>
  <w:style w:type="character" w:styleId="44">
    <w:name w:val="FollowedHyperlink"/>
    <w:basedOn w:val="41"/>
    <w:qFormat/>
    <w:uiPriority w:val="0"/>
    <w:rPr>
      <w:color w:val="800080"/>
      <w:u w:val="single"/>
    </w:rPr>
  </w:style>
  <w:style w:type="character" w:styleId="45">
    <w:name w:val="Hyperlink"/>
    <w:basedOn w:val="41"/>
    <w:qFormat/>
    <w:uiPriority w:val="99"/>
    <w:rPr>
      <w:color w:val="0000FF"/>
      <w:spacing w:val="0"/>
      <w:w w:val="100"/>
      <w:szCs w:val="21"/>
      <w:u w:val="single"/>
    </w:rPr>
  </w:style>
  <w:style w:type="character" w:styleId="46">
    <w:name w:val="annotation reference"/>
    <w:basedOn w:val="41"/>
    <w:qFormat/>
    <w:uiPriority w:val="99"/>
    <w:rPr>
      <w:sz w:val="21"/>
      <w:szCs w:val="21"/>
    </w:rPr>
  </w:style>
  <w:style w:type="character" w:styleId="47">
    <w:name w:val="footnote reference"/>
    <w:basedOn w:val="41"/>
    <w:semiHidden/>
    <w:qFormat/>
    <w:uiPriority w:val="0"/>
    <w:rPr>
      <w:vertAlign w:val="superscript"/>
    </w:rPr>
  </w:style>
  <w:style w:type="character" w:customStyle="1" w:styleId="48">
    <w:name w:val="段 Char"/>
    <w:basedOn w:val="41"/>
    <w:link w:val="29"/>
    <w:qFormat/>
    <w:uiPriority w:val="0"/>
    <w:rPr>
      <w:rFonts w:ascii="宋体"/>
      <w:sz w:val="21"/>
      <w:lang w:val="en-US" w:eastAsia="zh-CN" w:bidi="ar-SA"/>
    </w:rPr>
  </w:style>
  <w:style w:type="paragraph" w:customStyle="1" w:styleId="49">
    <w:name w:val="一级条标题"/>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9"/>
    <w:qFormat/>
    <w:uiPriority w:val="0"/>
    <w:p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9"/>
    <w:qFormat/>
    <w:uiPriority w:val="0"/>
    <w:pPr>
      <w:outlineLvl w:val="4"/>
    </w:pPr>
  </w:style>
  <w:style w:type="paragraph" w:customStyle="1" w:styleId="59">
    <w:name w:val="示例"/>
    <w:next w:val="60"/>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2">
    <w:name w:val="四级条标题"/>
    <w:basedOn w:val="58"/>
    <w:next w:val="29"/>
    <w:qFormat/>
    <w:uiPriority w:val="0"/>
    <w:pPr>
      <w:outlineLvl w:val="5"/>
    </w:pPr>
  </w:style>
  <w:style w:type="paragraph" w:customStyle="1" w:styleId="63">
    <w:name w:val="五级条标题"/>
    <w:basedOn w:val="62"/>
    <w:next w:val="29"/>
    <w:qFormat/>
    <w:uiPriority w:val="0"/>
    <w:pPr>
      <w:outlineLvl w:val="6"/>
    </w:pPr>
  </w:style>
  <w:style w:type="paragraph" w:customStyle="1" w:styleId="64">
    <w:name w:val="注："/>
    <w:next w:val="29"/>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2"/>
      </w:numPr>
    </w:pPr>
    <w:rPr>
      <w:rFonts w:ascii="宋体"/>
      <w:szCs w:val="21"/>
    </w:rPr>
  </w:style>
  <w:style w:type="paragraph" w:customStyle="1" w:styleId="68">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9">
    <w:name w:val="示例×："/>
    <w:basedOn w:val="52"/>
    <w:qFormat/>
    <w:uiPriority w:val="0"/>
    <w:pPr>
      <w:numPr>
        <w:ilvl w:val="0"/>
        <w:numId w:val="7"/>
      </w:numPr>
      <w:spacing w:beforeLines="0" w:afterLines="0"/>
      <w:outlineLvl w:val="9"/>
    </w:pPr>
    <w:rPr>
      <w:rFonts w:ascii="宋体" w:eastAsia="宋体"/>
      <w:sz w:val="18"/>
      <w:szCs w:val="18"/>
    </w:rPr>
  </w:style>
  <w:style w:type="paragraph" w:customStyle="1" w:styleId="70">
    <w:name w:val="二级无"/>
    <w:basedOn w:val="53"/>
    <w:qFormat/>
    <w:uiPriority w:val="0"/>
    <w:pPr>
      <w:spacing w:beforeLines="0" w:afterLines="0"/>
    </w:pPr>
    <w:rPr>
      <w:rFonts w:ascii="宋体" w:eastAsia="宋体"/>
    </w:rPr>
  </w:style>
  <w:style w:type="paragraph" w:customStyle="1" w:styleId="71">
    <w:name w:val="注：（正文）"/>
    <w:basedOn w:val="64"/>
    <w:next w:val="29"/>
    <w:qFormat/>
    <w:uiPriority w:val="0"/>
  </w:style>
  <w:style w:type="paragraph" w:customStyle="1" w:styleId="7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9"/>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basedOn w:val="41"/>
    <w:qFormat/>
    <w:uiPriority w:val="0"/>
    <w:rPr>
      <w:rFonts w:ascii="黑体" w:eastAsia="黑体"/>
      <w:spacing w:val="85"/>
      <w:w w:val="100"/>
      <w:position w:val="3"/>
      <w:sz w:val="28"/>
      <w:szCs w:val="28"/>
    </w:rPr>
  </w:style>
  <w:style w:type="paragraph" w:customStyle="1" w:styleId="81">
    <w:name w:val="发布部门"/>
    <w:next w:val="2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9"/>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附录标题"/>
    <w:basedOn w:val="29"/>
    <w:next w:val="29"/>
    <w:qFormat/>
    <w:uiPriority w:val="0"/>
    <w:pPr>
      <w:ind w:firstLine="0" w:firstLineChars="0"/>
      <w:jc w:val="center"/>
    </w:pPr>
    <w:rPr>
      <w:rFonts w:ascii="黑体" w:eastAsia="黑体"/>
    </w:rPr>
  </w:style>
  <w:style w:type="paragraph" w:customStyle="1" w:styleId="93">
    <w:name w:val="附录表标号"/>
    <w:basedOn w:val="1"/>
    <w:next w:val="29"/>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4">
    <w:name w:val="附录表标题"/>
    <w:basedOn w:val="1"/>
    <w:next w:val="29"/>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9"/>
    <w:next w:val="29"/>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9"/>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9"/>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3">
    <w:name w:val="附录四级条标题"/>
    <w:basedOn w:val="100"/>
    <w:next w:val="29"/>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6">
    <w:name w:val="附录图标题"/>
    <w:basedOn w:val="1"/>
    <w:next w:val="29"/>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9"/>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9"/>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9"/>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9"/>
    <w:next w:val="29"/>
    <w:qFormat/>
    <w:uiPriority w:val="0"/>
    <w:pPr>
      <w:ind w:firstLine="360"/>
    </w:pPr>
    <w:rPr>
      <w:sz w:val="18"/>
    </w:rPr>
  </w:style>
  <w:style w:type="paragraph" w:customStyle="1" w:styleId="123">
    <w:name w:val="首示例"/>
    <w:next w:val="29"/>
    <w:link w:val="124"/>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basedOn w:val="41"/>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30"/>
    <w:qFormat/>
    <w:uiPriority w:val="0"/>
    <w:pPr>
      <w:numPr>
        <w:numId w:val="0"/>
      </w:numPr>
      <w:jc w:val="both"/>
    </w:pPr>
  </w:style>
  <w:style w:type="paragraph" w:customStyle="1" w:styleId="127">
    <w:name w:val="图标脚注说明"/>
    <w:basedOn w:val="29"/>
    <w:qFormat/>
    <w:uiPriority w:val="0"/>
    <w:pPr>
      <w:ind w:left="840" w:hanging="420" w:firstLineChars="0"/>
    </w:pPr>
    <w:rPr>
      <w:sz w:val="18"/>
      <w:szCs w:val="18"/>
    </w:rPr>
  </w:style>
  <w:style w:type="paragraph" w:customStyle="1" w:styleId="128">
    <w:name w:val="图表脚注说明"/>
    <w:basedOn w:val="1"/>
    <w:qFormat/>
    <w:uiPriority w:val="0"/>
    <w:pPr>
      <w:numPr>
        <w:ilvl w:val="0"/>
        <w:numId w:val="14"/>
      </w:numPr>
    </w:pPr>
    <w:rPr>
      <w:rFonts w:ascii="宋体"/>
      <w:sz w:val="18"/>
      <w:szCs w:val="18"/>
    </w:rPr>
  </w:style>
  <w:style w:type="paragraph" w:customStyle="1" w:styleId="129">
    <w:name w:val="图的脚注"/>
    <w:next w:val="2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9"/>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9"/>
    <w:next w:val="29"/>
    <w:qFormat/>
    <w:uiPriority w:val="0"/>
    <w:pPr>
      <w:ind w:firstLine="0" w:firstLineChars="0"/>
    </w:pPr>
  </w:style>
  <w:style w:type="paragraph" w:customStyle="1" w:styleId="135">
    <w:name w:val="正文图标题"/>
    <w:next w:val="29"/>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character" w:customStyle="1" w:styleId="144">
    <w:name w:val="标题 1 字符"/>
    <w:basedOn w:val="41"/>
    <w:link w:val="2"/>
    <w:qFormat/>
    <w:locked/>
    <w:uiPriority w:val="0"/>
    <w:rPr>
      <w:rFonts w:ascii="Calibri" w:hAnsi="Calibri" w:eastAsia="宋体"/>
      <w:b/>
      <w:bCs/>
      <w:kern w:val="44"/>
      <w:sz w:val="44"/>
      <w:szCs w:val="44"/>
      <w:lang w:val="en-US" w:eastAsia="zh-CN" w:bidi="ar-SA"/>
    </w:rPr>
  </w:style>
  <w:style w:type="character" w:customStyle="1" w:styleId="145">
    <w:name w:val="标题 2 字符"/>
    <w:basedOn w:val="41"/>
    <w:link w:val="5"/>
    <w:semiHidden/>
    <w:qFormat/>
    <w:locked/>
    <w:uiPriority w:val="0"/>
    <w:rPr>
      <w:rFonts w:ascii="Cambria" w:hAnsi="Cambria" w:eastAsia="宋体"/>
      <w:b/>
      <w:bCs/>
      <w:kern w:val="2"/>
      <w:sz w:val="32"/>
      <w:szCs w:val="32"/>
      <w:lang w:val="en-US" w:eastAsia="zh-CN" w:bidi="ar-SA"/>
    </w:rPr>
  </w:style>
  <w:style w:type="paragraph" w:customStyle="1" w:styleId="146">
    <w:name w:val="正文表格"/>
    <w:basedOn w:val="1"/>
    <w:qFormat/>
    <w:uiPriority w:val="0"/>
    <w:pPr>
      <w:jc w:val="center"/>
    </w:pPr>
    <w:rPr>
      <w:rFonts w:ascii="宋体" w:hAnsi="宋体"/>
      <w:szCs w:val="22"/>
    </w:rPr>
  </w:style>
  <w:style w:type="character" w:customStyle="1" w:styleId="147">
    <w:name w:val="批注框文本 字符"/>
    <w:basedOn w:val="41"/>
    <w:link w:val="22"/>
    <w:qFormat/>
    <w:uiPriority w:val="0"/>
    <w:rPr>
      <w:kern w:val="2"/>
      <w:sz w:val="18"/>
      <w:szCs w:val="18"/>
    </w:rPr>
  </w:style>
  <w:style w:type="character" w:customStyle="1" w:styleId="148">
    <w:name w:val="纯文本 字符"/>
    <w:basedOn w:val="41"/>
    <w:link w:val="17"/>
    <w:qFormat/>
    <w:uiPriority w:val="0"/>
    <w:rPr>
      <w:rFonts w:ascii="宋体" w:hAnsi="Courier New"/>
      <w:kern w:val="2"/>
      <w:sz w:val="21"/>
    </w:rPr>
  </w:style>
  <w:style w:type="paragraph" w:customStyle="1" w:styleId="149">
    <w:name w:val="正文文本 21"/>
    <w:basedOn w:val="1"/>
    <w:qFormat/>
    <w:uiPriority w:val="0"/>
    <w:pPr>
      <w:adjustRightInd w:val="0"/>
      <w:ind w:firstLine="510"/>
      <w:jc w:val="left"/>
      <w:textAlignment w:val="baseline"/>
    </w:pPr>
    <w:rPr>
      <w:rFonts w:eastAsia="@幼圆"/>
      <w:sz w:val="32"/>
      <w:szCs w:val="20"/>
    </w:rPr>
  </w:style>
  <w:style w:type="paragraph" w:customStyle="1" w:styleId="15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1">
    <w:name w:val="日期 字符"/>
    <w:basedOn w:val="41"/>
    <w:link w:val="20"/>
    <w:qFormat/>
    <w:uiPriority w:val="0"/>
    <w:rPr>
      <w:kern w:val="2"/>
      <w:sz w:val="21"/>
      <w:szCs w:val="24"/>
    </w:rPr>
  </w:style>
  <w:style w:type="paragraph" w:customStyle="1" w:styleId="152">
    <w:name w:val="表格"/>
    <w:next w:val="1"/>
    <w:link w:val="153"/>
    <w:qFormat/>
    <w:uiPriority w:val="0"/>
    <w:pPr>
      <w:widowControl w:val="0"/>
      <w:adjustRightInd w:val="0"/>
      <w:jc w:val="center"/>
    </w:pPr>
    <w:rPr>
      <w:rFonts w:ascii="宋体" w:hAnsi="宋体" w:eastAsia="宋体" w:cs="Times New Roman"/>
      <w:kern w:val="2"/>
      <w:sz w:val="21"/>
      <w:szCs w:val="21"/>
      <w:lang w:val="en-US" w:eastAsia="zh-CN" w:bidi="ar-SA"/>
    </w:rPr>
  </w:style>
  <w:style w:type="character" w:customStyle="1" w:styleId="153">
    <w:name w:val="表格 Char"/>
    <w:basedOn w:val="41"/>
    <w:link w:val="152"/>
    <w:qFormat/>
    <w:locked/>
    <w:uiPriority w:val="0"/>
    <w:rPr>
      <w:rFonts w:ascii="宋体" w:hAnsi="宋体"/>
      <w:kern w:val="2"/>
      <w:sz w:val="21"/>
      <w:szCs w:val="21"/>
      <w:lang w:val="en-US" w:eastAsia="zh-CN" w:bidi="ar-SA"/>
    </w:rPr>
  </w:style>
  <w:style w:type="paragraph" w:customStyle="1" w:styleId="154">
    <w:name w:val="样式 首行缩进:  2 字符"/>
    <w:basedOn w:val="1"/>
    <w:link w:val="164"/>
    <w:qFormat/>
    <w:uiPriority w:val="0"/>
    <w:pPr>
      <w:widowControl/>
      <w:spacing w:line="520" w:lineRule="exact"/>
      <w:ind w:firstLine="240" w:firstLineChars="100"/>
    </w:pPr>
    <w:rPr>
      <w:rFonts w:ascii="宋体" w:hAnsi="宋体" w:cs="宋体"/>
      <w:sz w:val="24"/>
    </w:rPr>
  </w:style>
  <w:style w:type="paragraph" w:customStyle="1" w:styleId="155">
    <w:name w:val="正文11"/>
    <w:basedOn w:val="1"/>
    <w:link w:val="156"/>
    <w:qFormat/>
    <w:uiPriority w:val="0"/>
    <w:pPr>
      <w:widowControl/>
    </w:pPr>
    <w:rPr>
      <w:rFonts w:ascii="宋体" w:hAnsi="宋体"/>
      <w:szCs w:val="21"/>
    </w:rPr>
  </w:style>
  <w:style w:type="character" w:customStyle="1" w:styleId="156">
    <w:name w:val="正文1 Char"/>
    <w:basedOn w:val="41"/>
    <w:link w:val="155"/>
    <w:qFormat/>
    <w:locked/>
    <w:uiPriority w:val="0"/>
    <w:rPr>
      <w:rFonts w:ascii="宋体" w:hAnsi="宋体"/>
      <w:kern w:val="2"/>
      <w:sz w:val="21"/>
      <w:szCs w:val="21"/>
    </w:rPr>
  </w:style>
  <w:style w:type="paragraph" w:customStyle="1" w:styleId="157">
    <w:name w:val="公式"/>
    <w:basedOn w:val="1"/>
    <w:link w:val="158"/>
    <w:qFormat/>
    <w:uiPriority w:val="0"/>
    <w:pPr>
      <w:widowControl/>
      <w:spacing w:line="360" w:lineRule="auto"/>
      <w:ind w:right="480"/>
      <w:jc w:val="right"/>
    </w:pPr>
    <w:rPr>
      <w:b/>
      <w:sz w:val="24"/>
    </w:rPr>
  </w:style>
  <w:style w:type="character" w:customStyle="1" w:styleId="158">
    <w:name w:val="公式 Char"/>
    <w:basedOn w:val="41"/>
    <w:link w:val="157"/>
    <w:qFormat/>
    <w:uiPriority w:val="0"/>
    <w:rPr>
      <w:b/>
      <w:kern w:val="2"/>
      <w:sz w:val="24"/>
      <w:szCs w:val="24"/>
    </w:rPr>
  </w:style>
  <w:style w:type="paragraph" w:customStyle="1" w:styleId="159">
    <w:name w:val="样式 表格 + 宋体"/>
    <w:basedOn w:val="152"/>
    <w:link w:val="160"/>
    <w:qFormat/>
    <w:uiPriority w:val="0"/>
    <w:pPr>
      <w:framePr w:hSpace="180" w:wrap="around" w:vAnchor="text" w:hAnchor="margin" w:xAlign="center" w:y="98"/>
      <w:spacing w:line="360" w:lineRule="auto"/>
    </w:pPr>
    <w:rPr>
      <w:szCs w:val="24"/>
    </w:rPr>
  </w:style>
  <w:style w:type="character" w:customStyle="1" w:styleId="160">
    <w:name w:val="样式 表格 + 宋体 Char"/>
    <w:basedOn w:val="153"/>
    <w:link w:val="159"/>
    <w:qFormat/>
    <w:uiPriority w:val="0"/>
    <w:rPr>
      <w:rFonts w:ascii="宋体" w:hAnsi="宋体"/>
      <w:kern w:val="2"/>
      <w:sz w:val="21"/>
      <w:szCs w:val="24"/>
      <w:lang w:val="en-US" w:eastAsia="zh-CN" w:bidi="ar-SA"/>
    </w:rPr>
  </w:style>
  <w:style w:type="paragraph" w:customStyle="1" w:styleId="161">
    <w:name w:val="样式 样式 表名 + (西文) 宋体 (中文) 宋体 + (中文) 宋体"/>
    <w:basedOn w:val="1"/>
    <w:link w:val="162"/>
    <w:qFormat/>
    <w:uiPriority w:val="0"/>
    <w:pPr>
      <w:spacing w:line="240" w:lineRule="atLeast"/>
      <w:jc w:val="center"/>
    </w:pPr>
    <w:rPr>
      <w:rFonts w:ascii="Calibri" w:hAnsi="Calibri" w:eastAsia="Times New Roman" w:cs="宋体"/>
      <w:b/>
      <w:bCs/>
      <w:sz w:val="24"/>
      <w:szCs w:val="21"/>
    </w:rPr>
  </w:style>
  <w:style w:type="character" w:customStyle="1" w:styleId="162">
    <w:name w:val="样式 样式 表名 + (西文) 宋体 (中文) 宋体 + (中文) 宋体 Char"/>
    <w:basedOn w:val="41"/>
    <w:link w:val="161"/>
    <w:qFormat/>
    <w:uiPriority w:val="0"/>
    <w:rPr>
      <w:rFonts w:ascii="Calibri" w:hAnsi="Calibri" w:eastAsia="Times New Roman" w:cs="宋体"/>
      <w:b/>
      <w:bCs/>
      <w:kern w:val="2"/>
      <w:sz w:val="24"/>
      <w:szCs w:val="21"/>
    </w:rPr>
  </w:style>
  <w:style w:type="paragraph" w:customStyle="1" w:styleId="163">
    <w:name w:val="样式 样式 样式 表名 + (西文) 宋体 (中文) 宋体 + (中文) 宋体 + (西文) Times New Roman ..."/>
    <w:basedOn w:val="161"/>
    <w:qFormat/>
    <w:uiPriority w:val="0"/>
    <w:pPr>
      <w:adjustRightInd w:val="0"/>
      <w:snapToGrid w:val="0"/>
      <w:spacing w:line="360" w:lineRule="auto"/>
    </w:pPr>
    <w:rPr>
      <w:rFonts w:ascii="宋体" w:hAnsi="宋体" w:eastAsia="宋体" w:cs="Times New Roman"/>
      <w:szCs w:val="24"/>
    </w:rPr>
  </w:style>
  <w:style w:type="character" w:customStyle="1" w:styleId="164">
    <w:name w:val="样式 首行缩进:  2 字符 Char"/>
    <w:basedOn w:val="41"/>
    <w:link w:val="154"/>
    <w:qFormat/>
    <w:uiPriority w:val="0"/>
    <w:rPr>
      <w:rFonts w:ascii="宋体" w:hAnsi="宋体" w:cs="宋体"/>
      <w:kern w:val="2"/>
      <w:sz w:val="24"/>
      <w:szCs w:val="24"/>
    </w:rPr>
  </w:style>
  <w:style w:type="paragraph" w:customStyle="1" w:styleId="165">
    <w:name w:val="表格22"/>
    <w:basedOn w:val="1"/>
    <w:link w:val="166"/>
    <w:qFormat/>
    <w:uiPriority w:val="0"/>
    <w:pPr>
      <w:spacing w:line="360" w:lineRule="auto"/>
      <w:jc w:val="center"/>
    </w:pPr>
    <w:rPr>
      <w:b/>
      <w:szCs w:val="21"/>
    </w:rPr>
  </w:style>
  <w:style w:type="character" w:customStyle="1" w:styleId="166">
    <w:name w:val="表格22 Char"/>
    <w:basedOn w:val="41"/>
    <w:link w:val="165"/>
    <w:qFormat/>
    <w:uiPriority w:val="0"/>
    <w:rPr>
      <w:b/>
      <w:kern w:val="2"/>
      <w:sz w:val="21"/>
      <w:szCs w:val="21"/>
    </w:rPr>
  </w:style>
  <w:style w:type="paragraph" w:customStyle="1" w:styleId="167">
    <w:name w:val="样式 表名 + 宋体1"/>
    <w:basedOn w:val="1"/>
    <w:link w:val="168"/>
    <w:qFormat/>
    <w:uiPriority w:val="0"/>
    <w:pPr>
      <w:widowControl/>
      <w:spacing w:line="240" w:lineRule="atLeast"/>
      <w:jc w:val="center"/>
    </w:pPr>
    <w:rPr>
      <w:rFonts w:cs="宋体"/>
      <w:bCs/>
      <w:szCs w:val="21"/>
    </w:rPr>
  </w:style>
  <w:style w:type="character" w:customStyle="1" w:styleId="168">
    <w:name w:val="样式 表名 + 宋体1 Char"/>
    <w:basedOn w:val="41"/>
    <w:link w:val="167"/>
    <w:qFormat/>
    <w:locked/>
    <w:uiPriority w:val="0"/>
    <w:rPr>
      <w:rFonts w:cs="宋体"/>
      <w:bCs/>
      <w:kern w:val="2"/>
      <w:sz w:val="21"/>
      <w:szCs w:val="21"/>
    </w:rPr>
  </w:style>
  <w:style w:type="character" w:customStyle="1" w:styleId="169">
    <w:name w:val="页脚 字符"/>
    <w:basedOn w:val="41"/>
    <w:link w:val="23"/>
    <w:qFormat/>
    <w:uiPriority w:val="99"/>
    <w:rPr>
      <w:kern w:val="2"/>
      <w:sz w:val="18"/>
      <w:szCs w:val="18"/>
    </w:rPr>
  </w:style>
  <w:style w:type="paragraph" w:customStyle="1" w:styleId="170">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71">
    <w:name w:val="font61"/>
    <w:basedOn w:val="41"/>
    <w:qFormat/>
    <w:uiPriority w:val="0"/>
    <w:rPr>
      <w:rFonts w:hint="eastAsia" w:ascii="宋体" w:hAnsi="宋体" w:eastAsia="宋体" w:cs="宋体"/>
      <w:color w:val="auto"/>
      <w:sz w:val="24"/>
      <w:szCs w:val="24"/>
      <w:u w:val="none"/>
    </w:rPr>
  </w:style>
  <w:style w:type="character" w:customStyle="1" w:styleId="172">
    <w:name w:val="font71"/>
    <w:basedOn w:val="41"/>
    <w:qFormat/>
    <w:uiPriority w:val="0"/>
    <w:rPr>
      <w:rFonts w:hint="default" w:ascii="Times New Roman" w:hAnsi="Times New Roman" w:cs="Times New Roman"/>
      <w:color w:val="auto"/>
      <w:sz w:val="21"/>
      <w:szCs w:val="21"/>
      <w:u w:val="none"/>
    </w:rPr>
  </w:style>
  <w:style w:type="paragraph" w:customStyle="1" w:styleId="173">
    <w:name w:val="简单回函地址"/>
    <w:basedOn w:val="1"/>
    <w:qFormat/>
    <w:uiPriority w:val="0"/>
  </w:style>
  <w:style w:type="character" w:customStyle="1" w:styleId="174">
    <w:name w:val="正文文本缩进 3 字符"/>
    <w:basedOn w:val="41"/>
    <w:link w:val="32"/>
    <w:qFormat/>
    <w:uiPriority w:val="0"/>
    <w:rPr>
      <w:kern w:val="2"/>
      <w:sz w:val="16"/>
      <w:szCs w:val="16"/>
    </w:rPr>
  </w:style>
  <w:style w:type="character" w:customStyle="1" w:styleId="175">
    <w:name w:val="标题 3 字符"/>
    <w:basedOn w:val="41"/>
    <w:link w:val="6"/>
    <w:semiHidden/>
    <w:qFormat/>
    <w:uiPriority w:val="0"/>
    <w:rPr>
      <w:b/>
      <w:bCs/>
      <w:kern w:val="2"/>
      <w:sz w:val="32"/>
      <w:szCs w:val="32"/>
    </w:rPr>
  </w:style>
  <w:style w:type="character" w:customStyle="1" w:styleId="176">
    <w:name w:val="批注文字 字符"/>
    <w:basedOn w:val="41"/>
    <w:link w:val="12"/>
    <w:qFormat/>
    <w:uiPriority w:val="0"/>
    <w:rPr>
      <w:kern w:val="2"/>
      <w:sz w:val="21"/>
      <w:szCs w:val="24"/>
    </w:rPr>
  </w:style>
  <w:style w:type="character" w:customStyle="1" w:styleId="177">
    <w:name w:val="批注主题 字符"/>
    <w:basedOn w:val="176"/>
    <w:link w:val="38"/>
    <w:qFormat/>
    <w:uiPriority w:val="0"/>
    <w:rPr>
      <w:b/>
      <w:bCs/>
      <w:kern w:val="2"/>
      <w:sz w:val="21"/>
      <w:szCs w:val="24"/>
    </w:rPr>
  </w:style>
  <w:style w:type="character" w:customStyle="1" w:styleId="178">
    <w:name w:val="页眉 字符"/>
    <w:basedOn w:val="41"/>
    <w:link w:val="24"/>
    <w:qFormat/>
    <w:uiPriority w:val="99"/>
    <w:rPr>
      <w:kern w:val="2"/>
      <w:sz w:val="18"/>
      <w:szCs w:val="18"/>
    </w:rPr>
  </w:style>
  <w:style w:type="character" w:customStyle="1" w:styleId="179">
    <w:name w:val="fontstyle01"/>
    <w:basedOn w:val="41"/>
    <w:qFormat/>
    <w:uiPriority w:val="0"/>
    <w:rPr>
      <w:rFonts w:hint="eastAsia" w:ascii="宋体" w:hAnsi="宋体" w:eastAsia="宋体"/>
      <w:color w:val="000000"/>
      <w:sz w:val="22"/>
      <w:szCs w:val="22"/>
    </w:rPr>
  </w:style>
  <w:style w:type="character" w:customStyle="1" w:styleId="180">
    <w:name w:val="fontstyle21"/>
    <w:basedOn w:val="41"/>
    <w:qFormat/>
    <w:uiPriority w:val="0"/>
    <w:rPr>
      <w:rFonts w:hint="default" w:ascii="Times New Roman" w:hAnsi="Times New Roman" w:cs="Times New Roman"/>
      <w:color w:val="000000"/>
      <w:sz w:val="22"/>
      <w:szCs w:val="22"/>
    </w:rPr>
  </w:style>
  <w:style w:type="character" w:customStyle="1" w:styleId="181">
    <w:name w:val="fontstyle31"/>
    <w:basedOn w:val="41"/>
    <w:qFormat/>
    <w:uiPriority w:val="0"/>
    <w:rPr>
      <w:rFonts w:hint="default" w:ascii="Symbol" w:hAnsi="Symbol"/>
      <w:color w:val="000000"/>
      <w:sz w:val="144"/>
      <w:szCs w:val="144"/>
    </w:rPr>
  </w:style>
  <w:style w:type="character" w:customStyle="1" w:styleId="182">
    <w:name w:val="表格5号字 Char"/>
    <w:link w:val="183"/>
    <w:qFormat/>
    <w:uiPriority w:val="0"/>
    <w:rPr>
      <w:rFonts w:cs="宋体"/>
      <w:szCs w:val="24"/>
      <w:lang w:val="en-GB"/>
    </w:rPr>
  </w:style>
  <w:style w:type="paragraph" w:customStyle="1" w:styleId="183">
    <w:name w:val="表格5号字"/>
    <w:basedOn w:val="1"/>
    <w:link w:val="182"/>
    <w:qFormat/>
    <w:uiPriority w:val="0"/>
    <w:pPr>
      <w:adjustRightInd w:val="0"/>
      <w:snapToGrid w:val="0"/>
      <w:jc w:val="center"/>
    </w:pPr>
    <w:rPr>
      <w:rFonts w:cs="宋体"/>
      <w:kern w:val="0"/>
      <w:sz w:val="20"/>
      <w:lang w:val="en-GB"/>
    </w:rPr>
  </w:style>
  <w:style w:type="character" w:customStyle="1" w:styleId="184">
    <w:name w:val="表格标题行 字符"/>
    <w:link w:val="185"/>
    <w:qFormat/>
    <w:uiPriority w:val="0"/>
    <w:rPr>
      <w:rFonts w:cs="宋体"/>
      <w:b/>
      <w:szCs w:val="24"/>
      <w:lang w:val="en-GB"/>
    </w:rPr>
  </w:style>
  <w:style w:type="paragraph" w:customStyle="1" w:styleId="185">
    <w:name w:val="表格标题行"/>
    <w:basedOn w:val="183"/>
    <w:link w:val="184"/>
    <w:qFormat/>
    <w:uiPriority w:val="0"/>
    <w:rPr>
      <w:b/>
    </w:rPr>
  </w:style>
  <w:style w:type="paragraph" w:styleId="18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87">
    <w:name w:val="正文段落"/>
    <w:basedOn w:val="1"/>
    <w:link w:val="188"/>
    <w:qFormat/>
    <w:uiPriority w:val="0"/>
    <w:pPr>
      <w:widowControl/>
      <w:spacing w:line="312" w:lineRule="auto"/>
      <w:ind w:firstLine="480" w:firstLineChars="200"/>
    </w:pPr>
    <w:rPr>
      <w:rFonts w:cstheme="minorBidi"/>
      <w:szCs w:val="21"/>
    </w:rPr>
  </w:style>
  <w:style w:type="character" w:customStyle="1" w:styleId="188">
    <w:name w:val="正文段落 Char"/>
    <w:basedOn w:val="41"/>
    <w:link w:val="187"/>
    <w:qFormat/>
    <w:uiPriority w:val="0"/>
    <w:rPr>
      <w:rFonts w:cstheme="minorBidi"/>
      <w:kern w:val="2"/>
      <w:sz w:val="21"/>
      <w:szCs w:val="21"/>
    </w:rPr>
  </w:style>
  <w:style w:type="table" w:customStyle="1" w:styleId="189">
    <w:name w:val="网格型2"/>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图表标题"/>
    <w:link w:val="191"/>
    <w:qFormat/>
    <w:uiPriority w:val="0"/>
    <w:pPr>
      <w:spacing w:line="360" w:lineRule="auto"/>
      <w:jc w:val="center"/>
    </w:pPr>
    <w:rPr>
      <w:rFonts w:ascii="Times New Roman" w:hAnsi="Times New Roman" w:eastAsia="宋体" w:cs="Times New Roman"/>
      <w:kern w:val="2"/>
      <w:sz w:val="24"/>
      <w:szCs w:val="22"/>
      <w:lang w:val="en-US" w:eastAsia="zh-CN" w:bidi="ar-SA"/>
    </w:rPr>
  </w:style>
  <w:style w:type="character" w:customStyle="1" w:styleId="191">
    <w:name w:val="图表标题 字符"/>
    <w:basedOn w:val="41"/>
    <w:link w:val="190"/>
    <w:qFormat/>
    <w:uiPriority w:val="0"/>
    <w:rPr>
      <w:kern w:val="2"/>
      <w:sz w:val="24"/>
      <w:szCs w:val="22"/>
    </w:rPr>
  </w:style>
  <w:style w:type="paragraph" w:customStyle="1" w:styleId="192">
    <w:name w:val="临时表内文字"/>
    <w:next w:val="1"/>
    <w:link w:val="193"/>
    <w:qFormat/>
    <w:uiPriority w:val="0"/>
    <w:pPr>
      <w:jc w:val="center"/>
    </w:pPr>
    <w:rPr>
      <w:rFonts w:ascii="Times New Roman" w:hAnsi="Times New Roman" w:eastAsia="宋体" w:cs="Times New Roman"/>
      <w:kern w:val="2"/>
      <w:sz w:val="21"/>
      <w:szCs w:val="21"/>
      <w:lang w:val="en-US" w:eastAsia="zh-CN" w:bidi="ar-SA"/>
    </w:rPr>
  </w:style>
  <w:style w:type="character" w:customStyle="1" w:styleId="193">
    <w:name w:val="临时表内文字 字符"/>
    <w:basedOn w:val="41"/>
    <w:link w:val="192"/>
    <w:qFormat/>
    <w:uiPriority w:val="0"/>
    <w:rPr>
      <w:kern w:val="2"/>
      <w:sz w:val="21"/>
      <w:szCs w:val="21"/>
    </w:rPr>
  </w:style>
  <w:style w:type="paragraph" w:customStyle="1" w:styleId="194">
    <w:name w:val="二级条标题-新"/>
    <w:basedOn w:val="5"/>
    <w:next w:val="1"/>
    <w:qFormat/>
    <w:uiPriority w:val="0"/>
    <w:pPr>
      <w:spacing w:before="50" w:beforeLines="50" w:after="0" w:line="360" w:lineRule="auto"/>
      <w:ind w:left="1135"/>
      <w:jc w:val="left"/>
    </w:pPr>
    <w:rPr>
      <w:rFonts w:ascii="Times New Roman" w:hAnsi="Times New Roman" w:eastAsiaTheme="majorEastAsia" w:cstheme="majorBidi"/>
      <w:kern w:val="0"/>
      <w:sz w:val="24"/>
      <w:szCs w:val="21"/>
    </w:rPr>
  </w:style>
  <w:style w:type="paragraph" w:customStyle="1" w:styleId="19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D07EA2-BE26-4509-9348-0360D732E767}">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19</Pages>
  <Words>3016</Words>
  <Characters>3772</Characters>
  <Lines>78</Lines>
  <Paragraphs>22</Paragraphs>
  <TotalTime>4</TotalTime>
  <ScaleCrop>false</ScaleCrop>
  <LinksUpToDate>false</LinksUpToDate>
  <CharactersWithSpaces>4144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2024-10-28T07:41:00Z</dcterms:created>
  <dc:creator>CNIS</dc:creator>
  <cp:lastModifiedBy>断尾的猫</cp:lastModifiedBy>
  <cp:lastPrinted>2017-01-16T08:57:00Z</cp:lastPrinted>
  <dcterms:modified xsi:type="dcterms:W3CDTF">2025-07-08T03:36:19Z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eyJoZGlkIjoiYTcxNTNkZGM4OGIyOGM4ZWRiZDFkYzI0NjY0ZmNiMzEiLCJ1c2VySWQiOiIzMzA1NTY0MzMifQ==</vt:lpwstr>
  </property>
  <property fmtid="{D5CDD505-2E9C-101B-9397-08002B2CF9AE}" pid="4" name="ICV">
    <vt:lpwstr>FD1B9EA0C3394286B4A19D6E2D500E16_12</vt:lpwstr>
  </property>
</Properties>
</file>