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5B207">
      <w:pPr>
        <w:spacing w:line="360" w:lineRule="auto"/>
        <w:jc w:val="both"/>
        <w:rPr>
          <w:rFonts w:hint="eastAsia" w:ascii="Times New Roman" w:hAnsi="Times New Roman" w:eastAsia="仿宋_GB2312" w:cs="Times New Roman"/>
          <w:b/>
          <w:snapToGrid w:val="0"/>
          <w:kern w:val="0"/>
          <w:position w:val="6"/>
          <w:sz w:val="44"/>
          <w:szCs w:val="44"/>
          <w:u w:val="none"/>
          <w:lang w:val="en-US" w:eastAsia="zh-CN"/>
        </w:rPr>
      </w:pPr>
      <w:bookmarkStart w:id="0" w:name="OLE_LINK2"/>
    </w:p>
    <w:p w14:paraId="00E4569E">
      <w:pPr>
        <w:spacing w:line="360" w:lineRule="auto"/>
        <w:jc w:val="center"/>
        <w:rPr>
          <w:rFonts w:hint="eastAsia" w:eastAsia="仿宋_GB2312" w:cs="Times New Roman"/>
          <w:b/>
          <w:snapToGrid w:val="0"/>
          <w:kern w:val="0"/>
          <w:position w:val="6"/>
          <w:sz w:val="44"/>
          <w:szCs w:val="44"/>
          <w:u w:val="none"/>
          <w:lang w:val="en-US" w:eastAsia="zh-CN"/>
        </w:rPr>
      </w:pPr>
      <w:r>
        <w:rPr>
          <w:rFonts w:hint="eastAsia" w:eastAsia="仿宋_GB2312" w:cs="Times New Roman"/>
          <w:b/>
          <w:snapToGrid w:val="0"/>
          <w:kern w:val="0"/>
          <w:position w:val="6"/>
          <w:sz w:val="44"/>
          <w:szCs w:val="44"/>
          <w:u w:val="none"/>
          <w:lang w:val="en-US" w:eastAsia="zh-CN"/>
        </w:rPr>
        <w:t>贵州省交通运输厅技术指南</w:t>
      </w:r>
    </w:p>
    <w:p w14:paraId="023A84B6">
      <w:pPr>
        <w:spacing w:line="360" w:lineRule="auto"/>
        <w:jc w:val="center"/>
        <w:rPr>
          <w:rFonts w:hint="eastAsia" w:eastAsia="仿宋_GB2312" w:cs="Times New Roman"/>
          <w:b/>
          <w:snapToGrid w:val="0"/>
          <w:kern w:val="0"/>
          <w:position w:val="6"/>
          <w:sz w:val="44"/>
          <w:szCs w:val="44"/>
          <w:u w:val="single"/>
          <w:lang w:val="en-US" w:eastAsia="zh-CN"/>
        </w:rPr>
      </w:pPr>
    </w:p>
    <w:p w14:paraId="6930E57C">
      <w:pPr>
        <w:spacing w:line="360" w:lineRule="auto"/>
        <w:ind w:firstLine="0" w:firstLineChars="0"/>
        <w:jc w:val="center"/>
        <w:rPr>
          <w:rFonts w:hint="default" w:ascii="Times New Roman" w:hAnsi="Times New Roman" w:eastAsia="仿宋_GB2312" w:cs="Times New Roman"/>
          <w:b/>
          <w:snapToGrid w:val="0"/>
          <w:kern w:val="0"/>
          <w:position w:val="6"/>
          <w:sz w:val="36"/>
          <w:szCs w:val="36"/>
          <w:u w:val="single"/>
          <w:lang w:val="en-US" w:eastAsia="zh-CN"/>
        </w:rPr>
      </w:pPr>
      <w:r>
        <w:rPr>
          <w:rFonts w:hint="eastAsia" w:ascii="Times New Roman" w:hAnsi="Times New Roman" w:eastAsia="仿宋_GB2312" w:cs="Times New Roman"/>
          <w:b/>
          <w:snapToGrid w:val="0"/>
          <w:kern w:val="0"/>
          <w:position w:val="6"/>
          <w:sz w:val="36"/>
          <w:szCs w:val="36"/>
          <w:u w:val="single"/>
          <w:lang w:val="en-US" w:eastAsia="zh-CN"/>
        </w:rPr>
        <w:t xml:space="preserve">                            JTZN****—2025</w:t>
      </w:r>
    </w:p>
    <w:p w14:paraId="0DE9116D">
      <w:pPr>
        <w:spacing w:line="360" w:lineRule="auto"/>
        <w:jc w:val="center"/>
        <w:rPr>
          <w:rFonts w:hint="default" w:ascii="Times New Roman" w:hAnsi="Times New Roman" w:eastAsia="仿宋_GB2312" w:cs="Times New Roman"/>
          <w:b/>
          <w:snapToGrid w:val="0"/>
          <w:kern w:val="0"/>
          <w:position w:val="6"/>
          <w:sz w:val="52"/>
          <w:szCs w:val="52"/>
        </w:rPr>
      </w:pPr>
    </w:p>
    <w:p w14:paraId="1D48D858">
      <w:pPr>
        <w:spacing w:line="360" w:lineRule="auto"/>
        <w:jc w:val="center"/>
        <w:rPr>
          <w:rFonts w:hint="default" w:ascii="Times New Roman" w:hAnsi="Times New Roman" w:eastAsia="仿宋_GB2312" w:cs="Times New Roman"/>
          <w:b/>
          <w:snapToGrid w:val="0"/>
          <w:kern w:val="0"/>
          <w:position w:val="6"/>
          <w:sz w:val="52"/>
          <w:szCs w:val="52"/>
        </w:rPr>
      </w:pPr>
    </w:p>
    <w:p w14:paraId="7205FF31">
      <w:pPr>
        <w:spacing w:line="360" w:lineRule="auto"/>
        <w:jc w:val="center"/>
        <w:rPr>
          <w:rFonts w:hint="default" w:ascii="Times New Roman" w:hAnsi="Times New Roman" w:eastAsia="仿宋_GB2312" w:cs="Times New Roman"/>
          <w:b/>
          <w:snapToGrid w:val="0"/>
          <w:kern w:val="0"/>
          <w:position w:val="6"/>
          <w:sz w:val="52"/>
          <w:szCs w:val="52"/>
        </w:rPr>
      </w:pPr>
    </w:p>
    <w:p w14:paraId="1EE4E3D9">
      <w:pPr>
        <w:spacing w:line="360" w:lineRule="auto"/>
        <w:ind w:left="0" w:leftChars="0" w:firstLine="0" w:firstLineChars="0"/>
        <w:jc w:val="both"/>
        <w:rPr>
          <w:rFonts w:hint="default" w:ascii="Times New Roman" w:hAnsi="Times New Roman" w:eastAsia="仿宋_GB2312" w:cs="Times New Roman"/>
          <w:b/>
          <w:snapToGrid w:val="0"/>
          <w:w w:val="86"/>
          <w:kern w:val="0"/>
          <w:position w:val="6"/>
          <w:sz w:val="52"/>
          <w:szCs w:val="52"/>
        </w:rPr>
      </w:pPr>
      <w:r>
        <w:rPr>
          <w:rFonts w:hint="default" w:ascii="Times New Roman" w:hAnsi="Times New Roman" w:eastAsia="仿宋_GB2312" w:cs="Times New Roman"/>
          <w:b/>
          <w:snapToGrid w:val="0"/>
          <w:w w:val="86"/>
          <w:kern w:val="0"/>
          <w:position w:val="6"/>
          <w:sz w:val="52"/>
          <w:szCs w:val="52"/>
        </w:rPr>
        <w:t>贵州山区高速公路路面病害快速精准检测指南</w:t>
      </w:r>
    </w:p>
    <w:p w14:paraId="7F4FEA75">
      <w:pPr>
        <w:spacing w:line="360" w:lineRule="auto"/>
        <w:jc w:val="center"/>
        <w:rPr>
          <w:rFonts w:hint="default" w:ascii="Times New Roman" w:hAnsi="Times New Roman" w:eastAsia="仿宋_GB2312" w:cs="Times New Roman"/>
          <w:b/>
          <w:snapToGrid w:val="0"/>
          <w:kern w:val="0"/>
          <w:position w:val="6"/>
          <w:sz w:val="52"/>
          <w:szCs w:val="52"/>
        </w:rPr>
      </w:pPr>
    </w:p>
    <w:p w14:paraId="3868A29C">
      <w:pPr>
        <w:pStyle w:val="7"/>
        <w:jc w:val="center"/>
        <w:rPr>
          <w:rFonts w:hint="default" w:ascii="Times New Roman" w:hAnsi="Times New Roman" w:cs="Times New Roman"/>
          <w:sz w:val="34"/>
        </w:rPr>
      </w:pPr>
      <w:r>
        <w:rPr>
          <w:rFonts w:hint="default" w:ascii="Times New Roman" w:hAnsi="Times New Roman" w:eastAsia="仿宋_GB2312" w:cs="Times New Roman"/>
          <w:b/>
          <w:snapToGrid w:val="0"/>
          <w:kern w:val="0"/>
          <w:position w:val="6"/>
          <w:sz w:val="52"/>
          <w:szCs w:val="52"/>
        </w:rPr>
        <w:t>（</w:t>
      </w:r>
      <w:r>
        <w:rPr>
          <w:rFonts w:hint="default" w:ascii="Times New Roman" w:hAnsi="Times New Roman" w:eastAsia="仿宋_GB2312" w:cs="Times New Roman"/>
          <w:b/>
          <w:snapToGrid w:val="0"/>
          <w:kern w:val="0"/>
          <w:position w:val="6"/>
          <w:sz w:val="52"/>
          <w:szCs w:val="52"/>
          <w:lang w:val="en-US" w:eastAsia="zh-CN"/>
        </w:rPr>
        <w:t>试行</w:t>
      </w:r>
      <w:r>
        <w:rPr>
          <w:rFonts w:hint="default" w:ascii="Times New Roman" w:hAnsi="Times New Roman" w:eastAsia="仿宋_GB2312" w:cs="Times New Roman"/>
          <w:b/>
          <w:snapToGrid w:val="0"/>
          <w:kern w:val="0"/>
          <w:position w:val="6"/>
          <w:sz w:val="52"/>
          <w:szCs w:val="52"/>
        </w:rPr>
        <w:t>）</w:t>
      </w:r>
    </w:p>
    <w:p w14:paraId="39B37D27">
      <w:pPr>
        <w:pStyle w:val="7"/>
        <w:rPr>
          <w:rFonts w:hint="default" w:ascii="Times New Roman" w:hAnsi="Times New Roman" w:cs="Times New Roman"/>
          <w:sz w:val="34"/>
        </w:rPr>
      </w:pPr>
    </w:p>
    <w:p w14:paraId="1DA7836C">
      <w:pPr>
        <w:pStyle w:val="7"/>
        <w:rPr>
          <w:rFonts w:hint="default" w:ascii="Times New Roman" w:hAnsi="Times New Roman" w:cs="Times New Roman"/>
          <w:sz w:val="34"/>
        </w:rPr>
      </w:pPr>
    </w:p>
    <w:p w14:paraId="07AE2B97">
      <w:pPr>
        <w:pStyle w:val="7"/>
        <w:rPr>
          <w:rFonts w:hint="default" w:ascii="Times New Roman" w:hAnsi="Times New Roman" w:cs="Times New Roman"/>
          <w:sz w:val="34"/>
        </w:rPr>
      </w:pPr>
    </w:p>
    <w:p w14:paraId="626B7196">
      <w:pPr>
        <w:pStyle w:val="7"/>
        <w:rPr>
          <w:rFonts w:hint="default" w:ascii="Times New Roman" w:hAnsi="Times New Roman" w:cs="Times New Roman"/>
          <w:sz w:val="34"/>
        </w:rPr>
      </w:pPr>
    </w:p>
    <w:p w14:paraId="4BCD82A2">
      <w:pPr>
        <w:pStyle w:val="7"/>
        <w:rPr>
          <w:rFonts w:hint="default" w:ascii="Times New Roman" w:hAnsi="Times New Roman" w:cs="Times New Roman"/>
          <w:sz w:val="34"/>
        </w:rPr>
      </w:pPr>
    </w:p>
    <w:p w14:paraId="1D180A79">
      <w:pPr>
        <w:pStyle w:val="7"/>
        <w:rPr>
          <w:rFonts w:hint="default" w:ascii="Times New Roman" w:hAnsi="Times New Roman" w:cs="Times New Roman"/>
          <w:sz w:val="34"/>
        </w:rPr>
      </w:pPr>
    </w:p>
    <w:p w14:paraId="5B1E27F1">
      <w:pPr>
        <w:pStyle w:val="7"/>
        <w:rPr>
          <w:rFonts w:hint="default" w:ascii="Times New Roman" w:hAnsi="Times New Roman" w:cs="Times New Roman"/>
          <w:sz w:val="34"/>
        </w:rPr>
      </w:pPr>
    </w:p>
    <w:p w14:paraId="30AA760E">
      <w:pPr>
        <w:pStyle w:val="7"/>
        <w:rPr>
          <w:rFonts w:hint="default" w:ascii="Times New Roman" w:hAnsi="Times New Roman" w:cs="Times New Roman"/>
          <w:sz w:val="34"/>
        </w:rPr>
      </w:pPr>
    </w:p>
    <w:p w14:paraId="36EB6CF7">
      <w:pPr>
        <w:pStyle w:val="7"/>
        <w:rPr>
          <w:rFonts w:hint="default" w:ascii="Times New Roman" w:hAnsi="Times New Roman" w:cs="Times New Roman"/>
          <w:sz w:val="34"/>
        </w:rPr>
      </w:pPr>
    </w:p>
    <w:p w14:paraId="2466CA4C">
      <w:pPr>
        <w:pStyle w:val="7"/>
        <w:rPr>
          <w:rFonts w:hint="default" w:ascii="Times New Roman" w:hAnsi="Times New Roman" w:cs="Times New Roman"/>
          <w:sz w:val="34"/>
        </w:rPr>
      </w:pPr>
    </w:p>
    <w:p w14:paraId="2244E120">
      <w:pPr>
        <w:pStyle w:val="7"/>
        <w:rPr>
          <w:rFonts w:hint="default" w:ascii="Times New Roman" w:hAnsi="Times New Roman" w:cs="Times New Roman"/>
          <w:sz w:val="34"/>
        </w:rPr>
      </w:pPr>
    </w:p>
    <w:p w14:paraId="53840780">
      <w:pPr>
        <w:pStyle w:val="7"/>
        <w:rPr>
          <w:rFonts w:hint="default" w:ascii="Times New Roman" w:hAnsi="Times New Roman" w:cs="Times New Roman"/>
          <w:sz w:val="34"/>
        </w:rPr>
      </w:pPr>
    </w:p>
    <w:p w14:paraId="273311AA">
      <w:pPr>
        <w:pStyle w:val="7"/>
        <w:rPr>
          <w:rFonts w:hint="default" w:ascii="Times New Roman" w:hAnsi="Times New Roman" w:cs="Times New Roman"/>
          <w:sz w:val="34"/>
        </w:rPr>
      </w:pPr>
    </w:p>
    <w:p w14:paraId="490D02FB">
      <w:pPr>
        <w:jc w:val="left"/>
        <w:rPr>
          <w:rFonts w:hint="default" w:ascii="Times New Roman" w:hAnsi="Times New Roman" w:eastAsia="仿宋_GB2312" w:cs="Times New Roman"/>
          <w:u w:val="single"/>
          <w:lang w:val="en-US" w:eastAsia="zh-CN"/>
        </w:rPr>
      </w:pPr>
      <w:r>
        <w:rPr>
          <w:rFonts w:hint="eastAsia" w:ascii="宋体" w:hAnsi="宋体" w:cs="宋体"/>
          <w:sz w:val="28"/>
          <w:szCs w:val="36"/>
          <w:u w:val="thick"/>
          <w:lang w:val="en-US" w:eastAsia="zh-CN"/>
        </w:rPr>
        <w:t>****</w:t>
      </w:r>
      <w:r>
        <w:rPr>
          <w:rFonts w:hint="eastAsia" w:ascii="宋体" w:hAnsi="宋体" w:eastAsia="宋体" w:cs="宋体"/>
          <w:sz w:val="28"/>
          <w:szCs w:val="36"/>
          <w:u w:val="thick"/>
          <w:lang w:val="en-US" w:eastAsia="zh-CN"/>
        </w:rPr>
        <w:t>-</w:t>
      </w:r>
      <w:r>
        <w:rPr>
          <w:rFonts w:hint="eastAsia" w:ascii="宋体" w:hAnsi="宋体" w:cs="宋体"/>
          <w:sz w:val="28"/>
          <w:szCs w:val="36"/>
          <w:u w:val="thick"/>
          <w:lang w:val="en-US" w:eastAsia="zh-CN"/>
        </w:rPr>
        <w:t>*</w:t>
      </w:r>
      <w:r>
        <w:rPr>
          <w:rFonts w:hint="eastAsia" w:ascii="宋体" w:hAnsi="宋体" w:eastAsia="宋体" w:cs="宋体"/>
          <w:sz w:val="28"/>
          <w:szCs w:val="36"/>
          <w:u w:val="thick"/>
          <w:lang w:val="en-US" w:eastAsia="zh-CN"/>
        </w:rPr>
        <w:t>-</w:t>
      </w:r>
      <w:r>
        <w:rPr>
          <w:rFonts w:hint="eastAsia" w:ascii="宋体" w:hAnsi="宋体" w:cs="宋体"/>
          <w:sz w:val="28"/>
          <w:szCs w:val="36"/>
          <w:highlight w:val="none"/>
          <w:u w:val="thick"/>
          <w:lang w:val="en-US" w:eastAsia="zh-CN"/>
        </w:rPr>
        <w:t>**</w:t>
      </w:r>
      <w:r>
        <w:rPr>
          <w:rFonts w:hint="eastAsia" w:ascii="宋体" w:hAnsi="宋体" w:eastAsia="宋体" w:cs="宋体"/>
          <w:sz w:val="28"/>
          <w:szCs w:val="36"/>
          <w:u w:val="thick"/>
          <w:lang w:val="en-US" w:eastAsia="zh-CN"/>
        </w:rPr>
        <w:t xml:space="preserve">发布                            </w:t>
      </w:r>
      <w:r>
        <w:rPr>
          <w:rFonts w:hint="eastAsia" w:ascii="宋体" w:hAnsi="宋体" w:cs="宋体"/>
          <w:sz w:val="28"/>
          <w:szCs w:val="36"/>
          <w:u w:val="thick"/>
          <w:lang w:val="en-US" w:eastAsia="zh-CN"/>
        </w:rPr>
        <w:t>****</w:t>
      </w:r>
      <w:r>
        <w:rPr>
          <w:rFonts w:hint="eastAsia" w:ascii="宋体" w:hAnsi="宋体" w:eastAsia="宋体" w:cs="宋体"/>
          <w:sz w:val="28"/>
          <w:szCs w:val="36"/>
          <w:u w:val="thick"/>
          <w:lang w:val="en-US" w:eastAsia="zh-CN"/>
        </w:rPr>
        <w:t>-</w:t>
      </w:r>
      <w:r>
        <w:rPr>
          <w:rFonts w:hint="eastAsia" w:ascii="宋体" w:hAnsi="宋体" w:cs="宋体"/>
          <w:sz w:val="28"/>
          <w:szCs w:val="36"/>
          <w:u w:val="thick"/>
          <w:lang w:val="en-US" w:eastAsia="zh-CN"/>
        </w:rPr>
        <w:t>*</w:t>
      </w:r>
      <w:r>
        <w:rPr>
          <w:rFonts w:hint="eastAsia" w:ascii="宋体" w:hAnsi="宋体" w:eastAsia="宋体" w:cs="宋体"/>
          <w:sz w:val="28"/>
          <w:szCs w:val="36"/>
          <w:u w:val="thick"/>
          <w:lang w:val="en-US" w:eastAsia="zh-CN"/>
        </w:rPr>
        <w:t>-</w:t>
      </w:r>
      <w:r>
        <w:rPr>
          <w:rFonts w:hint="eastAsia" w:ascii="宋体" w:hAnsi="宋体" w:cs="宋体"/>
          <w:sz w:val="28"/>
          <w:szCs w:val="36"/>
          <w:highlight w:val="none"/>
          <w:u w:val="thick"/>
          <w:lang w:val="en-US" w:eastAsia="zh-CN"/>
        </w:rPr>
        <w:t>**</w:t>
      </w:r>
      <w:r>
        <w:rPr>
          <w:rFonts w:hint="eastAsia" w:ascii="宋体" w:hAnsi="宋体" w:eastAsia="宋体" w:cs="宋体"/>
          <w:sz w:val="28"/>
          <w:szCs w:val="36"/>
          <w:u w:val="thick"/>
          <w:lang w:val="en-US" w:eastAsia="zh-CN"/>
        </w:rPr>
        <w:t>实施</w:t>
      </w:r>
      <w:r>
        <w:rPr>
          <w:rFonts w:hint="eastAsia" w:ascii="Times New Roman" w:hAnsi="Times New Roman" w:eastAsia="仿宋_GB2312" w:cs="Times New Roman"/>
          <w:u w:val="thick"/>
          <w:lang w:val="en-US" w:eastAsia="zh-CN"/>
        </w:rPr>
        <w:t xml:space="preserve">                                                                       </w:t>
      </w:r>
      <w:r>
        <w:rPr>
          <w:rFonts w:hint="eastAsia" w:ascii="Times New Roman" w:hAnsi="Times New Roman" w:eastAsia="仿宋_GB2312" w:cs="Times New Roman"/>
          <w:u w:val="single"/>
          <w:lang w:val="en-US" w:eastAsia="zh-CN"/>
        </w:rPr>
        <w:t xml:space="preserve"> </w:t>
      </w:r>
    </w:p>
    <w:p w14:paraId="2D68B823">
      <w:pPr>
        <w:jc w:val="center"/>
        <w:rPr>
          <w:rFonts w:hint="default" w:ascii="Times New Roman" w:hAnsi="Times New Roman" w:eastAsia="仿宋_GB2312" w:cs="Times New Roman"/>
        </w:rPr>
      </w:pPr>
    </w:p>
    <w:p w14:paraId="50AA8C7D">
      <w:pPr>
        <w:jc w:val="center"/>
        <w:rPr>
          <w:rFonts w:hint="default" w:ascii="Times New Roman" w:hAnsi="Times New Roman" w:eastAsia="仿宋_GB2312" w:cs="Times New Roman"/>
        </w:rPr>
      </w:pPr>
    </w:p>
    <w:p w14:paraId="261D099D">
      <w:pPr>
        <w:keepNext w:val="0"/>
        <w:keepLines w:val="0"/>
        <w:widowControl/>
        <w:suppressLineNumbers w:val="0"/>
        <w:ind w:leftChars="900"/>
        <w:jc w:val="left"/>
        <w:rPr>
          <w:rFonts w:hint="eastAsia" w:ascii="宋体" w:hAnsi="宋体" w:eastAsia="宋体" w:cs="宋体"/>
          <w:sz w:val="24"/>
          <w:szCs w:val="24"/>
          <w:lang w:val="en-US"/>
        </w:rPr>
      </w:pPr>
      <w:r>
        <w:rPr>
          <w:rFonts w:hint="eastAsia" w:ascii="宋体" w:hAnsi="宋体" w:eastAsia="宋体" w:cs="宋体"/>
          <w:sz w:val="28"/>
          <w:szCs w:val="36"/>
          <w:lang w:val="en-US" w:eastAsia="zh-CN"/>
        </w:rPr>
        <w:t>贵州省交通运输厅</w:t>
      </w:r>
      <w:bookmarkStart w:id="150" w:name="_GoBack"/>
      <w:bookmarkEnd w:id="150"/>
      <w:r>
        <w:rPr>
          <w:rFonts w:hint="eastAsia" w:ascii="宋体" w:hAnsi="宋体" w:eastAsia="宋体" w:cs="宋体"/>
          <w:sz w:val="28"/>
          <w:szCs w:val="36"/>
          <w:lang w:val="en-US" w:eastAsia="zh-CN"/>
        </w:rPr>
        <w:t xml:space="preserve">        发布</w:t>
      </w:r>
      <w:r>
        <w:rPr>
          <w:rFonts w:hint="eastAsia" w:ascii="宋体" w:hAnsi="宋体" w:eastAsia="宋体" w:cs="宋体"/>
          <w:color w:val="000000"/>
          <w:kern w:val="0"/>
          <w:sz w:val="24"/>
          <w:szCs w:val="24"/>
          <w:lang w:val="en-US" w:eastAsia="zh-CN" w:bidi="ar"/>
        </w:rPr>
        <w:t xml:space="preserve">  </w:t>
      </w:r>
    </w:p>
    <w:bookmarkEnd w:id="0"/>
    <w:p w14:paraId="74D1BEBA">
      <w:pPr>
        <w:ind w:left="0" w:leftChars="0" w:firstLine="0" w:firstLineChars="0"/>
        <w:rPr>
          <w:rFonts w:hint="eastAsia" w:ascii="仿宋_GB2312" w:hAnsi="仿宋_GB2312" w:cs="仿宋_GB2312"/>
          <w:b/>
          <w:bCs/>
          <w:sz w:val="32"/>
          <w:szCs w:val="28"/>
          <w:lang w:val="en-US" w:eastAsia="zh-CN"/>
        </w:rPr>
        <w:sectPr>
          <w:headerReference r:id="rId5" w:type="default"/>
          <w:footerReference r:id="rId7" w:type="default"/>
          <w:headerReference r:id="rId6" w:type="even"/>
          <w:pgSz w:w="11906" w:h="16838"/>
          <w:pgMar w:top="1417" w:right="1417" w:bottom="1134"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5BD53768">
      <w:pPr>
        <w:ind w:left="0" w:leftChars="0" w:firstLine="0" w:firstLineChars="0"/>
        <w:rPr>
          <w:rFonts w:hint="eastAsia" w:ascii="仿宋_GB2312" w:hAnsi="仿宋_GB2312" w:cs="仿宋_GB2312"/>
          <w:b/>
          <w:bCs/>
          <w:sz w:val="32"/>
          <w:szCs w:val="28"/>
          <w:lang w:val="en-US" w:eastAsia="zh-CN"/>
        </w:rPr>
        <w:sectPr>
          <w:pgSz w:w="11906" w:h="16838"/>
          <w:pgMar w:top="1417" w:right="1417" w:bottom="1134"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30450F31">
      <w:pPr>
        <w:keepNext w:val="0"/>
        <w:keepLines w:val="0"/>
        <w:pageBreakBefore w:val="0"/>
        <w:widowControl w:val="0"/>
        <w:kinsoku/>
        <w:wordWrap/>
        <w:overflowPunct/>
        <w:topLinePunct w:val="0"/>
        <w:autoSpaceDE/>
        <w:autoSpaceDN/>
        <w:bidi w:val="0"/>
        <w:adjustRightInd/>
        <w:snapToGrid/>
        <w:spacing w:before="850" w:line="240" w:lineRule="auto"/>
        <w:ind w:firstLine="0" w:firstLineChars="0"/>
        <w:jc w:val="center"/>
        <w:textAlignment w:val="auto"/>
        <w:rPr>
          <w:rFonts w:hint="eastAsia" w:ascii="黑体" w:hAnsi="黑体" w:eastAsia="黑体" w:cs="黑体"/>
          <w:b/>
          <w:bCs/>
          <w:sz w:val="32"/>
          <w:szCs w:val="32"/>
          <w:lang w:eastAsia="zh-CN"/>
        </w:rPr>
      </w:pPr>
      <w:r>
        <w:rPr>
          <w:rFonts w:hint="eastAsia" w:ascii="黑体" w:hAnsi="黑体" w:eastAsia="黑体" w:cs="黑体"/>
          <w:b/>
          <w:bCs/>
          <w:sz w:val="32"/>
          <w:szCs w:val="32"/>
        </w:rPr>
        <w:t xml:space="preserve">目 </w:t>
      </w:r>
      <w:r>
        <w:rPr>
          <w:rFonts w:hint="eastAsia" w:ascii="黑体" w:hAnsi="黑体" w:eastAsia="黑体" w:cs="黑体"/>
          <w:b/>
          <w:bCs/>
          <w:sz w:val="32"/>
          <w:szCs w:val="32"/>
          <w:lang w:val="en-US" w:eastAsia="zh-CN"/>
        </w:rPr>
        <w:t xml:space="preserve">   次</w:t>
      </w:r>
    </w:p>
    <w:sdt>
      <w:sdtPr>
        <w:rPr>
          <w:rFonts w:ascii="宋体" w:hAnsi="宋体" w:eastAsia="宋体" w:cs="Times New Roman"/>
          <w:kern w:val="2"/>
          <w:sz w:val="21"/>
          <w:szCs w:val="24"/>
          <w:lang w:val="en-US" w:eastAsia="zh-CN" w:bidi="ar-SA"/>
        </w:rPr>
        <w:id w:val="147462599"/>
        <w15:color w:val="DBDBDB"/>
        <w:docPartObj>
          <w:docPartGallery w:val="Table of Contents"/>
          <w:docPartUnique/>
        </w:docPartObj>
      </w:sdtPr>
      <w:sdtEndPr>
        <w:rPr>
          <w:rFonts w:hint="eastAsia" w:ascii="宋体" w:hAnsi="宋体" w:eastAsia="宋体" w:cs="仿宋_GB2312"/>
          <w:bCs/>
          <w:kern w:val="2"/>
          <w:sz w:val="21"/>
          <w:szCs w:val="36"/>
          <w:lang w:val="en-US" w:eastAsia="zh-CN" w:bidi="ar-SA"/>
        </w:rPr>
      </w:sdtEndPr>
      <w:sdtContent>
        <w:p w14:paraId="5D9E4469">
          <w:pPr>
            <w:spacing w:before="0" w:beforeLines="0" w:after="0" w:afterLines="0" w:line="240" w:lineRule="auto"/>
            <w:ind w:left="0" w:leftChars="0" w:right="0" w:rightChars="0" w:firstLine="0" w:firstLineChars="0"/>
            <w:jc w:val="center"/>
          </w:pPr>
        </w:p>
        <w:p w14:paraId="60CB06D5">
          <w:pPr>
            <w:pStyle w:val="12"/>
            <w:tabs>
              <w:tab w:val="right" w:leader="dot" w:pos="9355"/>
            </w:tabs>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TOC \o "1-1" \h \u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_Toc30752 </w:instrText>
          </w:r>
          <w:r>
            <w:rPr>
              <w:rFonts w:hint="eastAsia" w:asciiTheme="minorEastAsia" w:hAnsiTheme="minorEastAsia" w:eastAsiaTheme="minorEastAsia" w:cstheme="minorEastAsia"/>
              <w:szCs w:val="21"/>
            </w:rPr>
            <w:fldChar w:fldCharType="separate"/>
          </w:r>
          <w:r>
            <w:rPr>
              <w:rFonts w:hint="eastAsia" w:ascii="黑体" w:hAnsi="黑体" w:eastAsia="黑体" w:cs="黑体"/>
              <w:bCs/>
              <w:szCs w:val="32"/>
            </w:rPr>
            <w:t xml:space="preserve">前 </w:t>
          </w:r>
          <w:r>
            <w:rPr>
              <w:rFonts w:hint="eastAsia" w:ascii="黑体" w:hAnsi="黑体" w:eastAsia="黑体" w:cs="黑体"/>
              <w:bCs/>
              <w:szCs w:val="32"/>
              <w:lang w:val="en-US" w:eastAsia="zh-CN"/>
            </w:rPr>
            <w:t xml:space="preserve">   </w:t>
          </w:r>
          <w:r>
            <w:rPr>
              <w:rFonts w:hint="eastAsia" w:ascii="黑体" w:hAnsi="黑体" w:eastAsia="黑体" w:cs="黑体"/>
              <w:bCs/>
              <w:szCs w:val="32"/>
            </w:rPr>
            <w:t>言</w:t>
          </w:r>
          <w:r>
            <w:tab/>
          </w:r>
          <w:r>
            <w:fldChar w:fldCharType="begin"/>
          </w:r>
          <w:r>
            <w:instrText xml:space="preserve"> PAGEREF _Toc30752 \h </w:instrText>
          </w:r>
          <w:r>
            <w:fldChar w:fldCharType="separate"/>
          </w:r>
          <w:r>
            <w:t>I</w:t>
          </w:r>
          <w:r>
            <w:fldChar w:fldCharType="end"/>
          </w:r>
          <w:r>
            <w:rPr>
              <w:rFonts w:hint="eastAsia" w:asciiTheme="minorEastAsia" w:hAnsiTheme="minorEastAsia" w:eastAsiaTheme="minorEastAsia" w:cstheme="minorEastAsia"/>
              <w:szCs w:val="21"/>
            </w:rPr>
            <w:fldChar w:fldCharType="end"/>
          </w:r>
        </w:p>
        <w:p w14:paraId="05DE6D70">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_Toc16492 </w:instrText>
          </w:r>
          <w:r>
            <w:rPr>
              <w:rFonts w:hint="eastAsia" w:asciiTheme="minorEastAsia" w:hAnsiTheme="minorEastAsia" w:eastAsiaTheme="minorEastAsia" w:cstheme="minorEastAsia"/>
              <w:szCs w:val="21"/>
            </w:rPr>
            <w:fldChar w:fldCharType="separate"/>
          </w:r>
          <w:r>
            <w:rPr>
              <w:rFonts w:hint="eastAsia"/>
              <w:lang w:val="en-US" w:eastAsia="zh-CN"/>
            </w:rPr>
            <w:t xml:space="preserve">1  </w:t>
          </w:r>
          <w:r>
            <w:rPr>
              <w:rFonts w:hint="eastAsia"/>
            </w:rPr>
            <w:t>总则</w:t>
          </w:r>
          <w:r>
            <w:tab/>
          </w:r>
          <w:r>
            <w:fldChar w:fldCharType="begin"/>
          </w:r>
          <w:r>
            <w:instrText xml:space="preserve"> PAGEREF _Toc16492 \h </w:instrText>
          </w:r>
          <w:r>
            <w:fldChar w:fldCharType="separate"/>
          </w:r>
          <w:r>
            <w:t>1</w:t>
          </w:r>
          <w:r>
            <w:fldChar w:fldCharType="end"/>
          </w:r>
          <w:r>
            <w:rPr>
              <w:rFonts w:hint="eastAsia" w:asciiTheme="minorEastAsia" w:hAnsiTheme="minorEastAsia" w:eastAsiaTheme="minorEastAsia" w:cstheme="minorEastAsia"/>
              <w:szCs w:val="21"/>
            </w:rPr>
            <w:fldChar w:fldCharType="end"/>
          </w:r>
        </w:p>
        <w:p w14:paraId="0E6157EF">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_Toc12208 </w:instrText>
          </w:r>
          <w:r>
            <w:rPr>
              <w:rFonts w:hint="eastAsia" w:asciiTheme="minorEastAsia" w:hAnsiTheme="minorEastAsia" w:eastAsiaTheme="minorEastAsia" w:cstheme="minorEastAsia"/>
              <w:szCs w:val="21"/>
            </w:rPr>
            <w:fldChar w:fldCharType="separate"/>
          </w:r>
          <w:r>
            <w:rPr>
              <w:rFonts w:hint="eastAsia"/>
              <w:lang w:val="en-US" w:eastAsia="zh-CN"/>
            </w:rPr>
            <w:t>2  规范性引用文件</w:t>
          </w:r>
          <w:r>
            <w:tab/>
          </w:r>
          <w:r>
            <w:fldChar w:fldCharType="begin"/>
          </w:r>
          <w:r>
            <w:instrText xml:space="preserve"> PAGEREF _Toc12208 \h </w:instrText>
          </w:r>
          <w:r>
            <w:fldChar w:fldCharType="separate"/>
          </w:r>
          <w:r>
            <w:t>1</w:t>
          </w:r>
          <w:r>
            <w:fldChar w:fldCharType="end"/>
          </w:r>
          <w:r>
            <w:rPr>
              <w:rFonts w:hint="eastAsia" w:asciiTheme="minorEastAsia" w:hAnsiTheme="minorEastAsia" w:eastAsiaTheme="minorEastAsia" w:cstheme="minorEastAsia"/>
              <w:szCs w:val="21"/>
            </w:rPr>
            <w:fldChar w:fldCharType="end"/>
          </w:r>
        </w:p>
        <w:p w14:paraId="5BA38BD9">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_Toc601 </w:instrText>
          </w:r>
          <w:r>
            <w:rPr>
              <w:rFonts w:hint="eastAsia" w:asciiTheme="minorEastAsia" w:hAnsiTheme="minorEastAsia" w:eastAsiaTheme="minorEastAsia" w:cstheme="minorEastAsia"/>
              <w:szCs w:val="21"/>
            </w:rPr>
            <w:fldChar w:fldCharType="separate"/>
          </w:r>
          <w:r>
            <w:rPr>
              <w:rFonts w:hint="eastAsia"/>
              <w:lang w:val="en-US" w:eastAsia="zh-CN"/>
            </w:rPr>
            <w:t>3  术语和</w:t>
          </w:r>
          <w:r>
            <w:rPr>
              <w:rFonts w:hint="eastAsia"/>
              <w:bCs/>
              <w:lang w:val="en-US" w:eastAsia="zh-CN"/>
            </w:rPr>
            <w:t>缩略语</w:t>
          </w:r>
          <w:r>
            <w:tab/>
          </w:r>
          <w:r>
            <w:fldChar w:fldCharType="begin"/>
          </w:r>
          <w:r>
            <w:instrText xml:space="preserve"> PAGEREF _Toc601 \h </w:instrText>
          </w:r>
          <w:r>
            <w:fldChar w:fldCharType="separate"/>
          </w:r>
          <w:r>
            <w:t>1</w:t>
          </w:r>
          <w:r>
            <w:fldChar w:fldCharType="end"/>
          </w:r>
          <w:r>
            <w:rPr>
              <w:rFonts w:hint="eastAsia" w:asciiTheme="minorEastAsia" w:hAnsiTheme="minorEastAsia" w:eastAsiaTheme="minorEastAsia" w:cstheme="minorEastAsia"/>
              <w:szCs w:val="21"/>
            </w:rPr>
            <w:fldChar w:fldCharType="end"/>
          </w:r>
        </w:p>
        <w:p w14:paraId="61F01F2D">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_Toc32308 </w:instrText>
          </w:r>
          <w:r>
            <w:rPr>
              <w:rFonts w:hint="eastAsia" w:asciiTheme="minorEastAsia" w:hAnsiTheme="minorEastAsia" w:eastAsiaTheme="minorEastAsia" w:cstheme="minorEastAsia"/>
              <w:szCs w:val="21"/>
            </w:rPr>
            <w:fldChar w:fldCharType="separate"/>
          </w:r>
          <w:r>
            <w:rPr>
              <w:rFonts w:hint="eastAsia"/>
              <w:bCs/>
              <w:lang w:val="en-US" w:eastAsia="zh-CN"/>
            </w:rPr>
            <w:t>4  基本规定</w:t>
          </w:r>
          <w:r>
            <w:tab/>
          </w:r>
          <w:r>
            <w:fldChar w:fldCharType="begin"/>
          </w:r>
          <w:r>
            <w:instrText xml:space="preserve"> PAGEREF _Toc32308 \h </w:instrText>
          </w:r>
          <w:r>
            <w:fldChar w:fldCharType="separate"/>
          </w:r>
          <w:r>
            <w:t>3</w:t>
          </w:r>
          <w:r>
            <w:fldChar w:fldCharType="end"/>
          </w:r>
          <w:r>
            <w:rPr>
              <w:rFonts w:hint="eastAsia" w:asciiTheme="minorEastAsia" w:hAnsiTheme="minorEastAsia" w:eastAsiaTheme="minorEastAsia" w:cstheme="minorEastAsia"/>
              <w:szCs w:val="21"/>
            </w:rPr>
            <w:fldChar w:fldCharType="end"/>
          </w:r>
        </w:p>
        <w:p w14:paraId="4EC4E47A">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_Toc28563 </w:instrText>
          </w:r>
          <w:r>
            <w:rPr>
              <w:rFonts w:hint="eastAsia" w:asciiTheme="minorEastAsia" w:hAnsiTheme="minorEastAsia" w:eastAsiaTheme="minorEastAsia" w:cstheme="minorEastAsia"/>
              <w:szCs w:val="21"/>
            </w:rPr>
            <w:fldChar w:fldCharType="separate"/>
          </w:r>
          <w:r>
            <w:rPr>
              <w:rFonts w:hint="eastAsia"/>
              <w:lang w:val="en-US" w:eastAsia="zh-CN"/>
            </w:rPr>
            <w:t xml:space="preserve">5  </w:t>
          </w:r>
          <w:r>
            <w:rPr>
              <w:rFonts w:hint="eastAsia"/>
            </w:rPr>
            <w:t>路面表观病害及</w:t>
          </w:r>
          <w:r>
            <w:rPr>
              <w:rFonts w:hint="eastAsia"/>
              <w:lang w:val="en-US" w:eastAsia="zh-CN"/>
            </w:rPr>
            <w:t>道路线形快速精准</w:t>
          </w:r>
          <w:r>
            <w:rPr>
              <w:rFonts w:hint="eastAsia"/>
            </w:rPr>
            <w:t>检测</w:t>
          </w:r>
          <w:r>
            <w:tab/>
          </w:r>
          <w:r>
            <w:fldChar w:fldCharType="begin"/>
          </w:r>
          <w:r>
            <w:instrText xml:space="preserve"> PAGEREF _Toc28563 \h </w:instrText>
          </w:r>
          <w:r>
            <w:fldChar w:fldCharType="separate"/>
          </w:r>
          <w:r>
            <w:t>7</w:t>
          </w:r>
          <w:r>
            <w:fldChar w:fldCharType="end"/>
          </w:r>
          <w:r>
            <w:rPr>
              <w:rFonts w:hint="eastAsia" w:asciiTheme="minorEastAsia" w:hAnsiTheme="minorEastAsia" w:eastAsiaTheme="minorEastAsia" w:cstheme="minorEastAsia"/>
              <w:szCs w:val="21"/>
            </w:rPr>
            <w:fldChar w:fldCharType="end"/>
          </w:r>
        </w:p>
        <w:p w14:paraId="14069E0A">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_Toc27476 </w:instrText>
          </w:r>
          <w:r>
            <w:rPr>
              <w:rFonts w:hint="eastAsia" w:asciiTheme="minorEastAsia" w:hAnsiTheme="minorEastAsia" w:eastAsiaTheme="minorEastAsia" w:cstheme="minorEastAsia"/>
              <w:szCs w:val="21"/>
            </w:rPr>
            <w:fldChar w:fldCharType="separate"/>
          </w:r>
          <w:r>
            <w:rPr>
              <w:rFonts w:hint="eastAsia"/>
              <w:lang w:val="en-US" w:eastAsia="zh-CN"/>
            </w:rPr>
            <w:t>6  路基路面隐伏病害快速精准</w:t>
          </w:r>
          <w:r>
            <w:rPr>
              <w:rFonts w:hint="eastAsia"/>
            </w:rPr>
            <w:t>检测</w:t>
          </w:r>
          <w:r>
            <w:tab/>
          </w:r>
          <w:r>
            <w:fldChar w:fldCharType="begin"/>
          </w:r>
          <w:r>
            <w:instrText xml:space="preserve"> PAGEREF _Toc27476 \h </w:instrText>
          </w:r>
          <w:r>
            <w:fldChar w:fldCharType="separate"/>
          </w:r>
          <w:r>
            <w:t>10</w:t>
          </w:r>
          <w:r>
            <w:fldChar w:fldCharType="end"/>
          </w:r>
          <w:r>
            <w:rPr>
              <w:rFonts w:hint="eastAsia" w:asciiTheme="minorEastAsia" w:hAnsiTheme="minorEastAsia" w:eastAsiaTheme="minorEastAsia" w:cstheme="minorEastAsia"/>
              <w:szCs w:val="21"/>
            </w:rPr>
            <w:fldChar w:fldCharType="end"/>
          </w:r>
        </w:p>
        <w:p w14:paraId="47C2D520">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_Toc19552 </w:instrText>
          </w:r>
          <w:r>
            <w:rPr>
              <w:rFonts w:hint="eastAsia" w:asciiTheme="minorEastAsia" w:hAnsiTheme="minorEastAsia" w:eastAsiaTheme="minorEastAsia" w:cstheme="minorEastAsia"/>
              <w:szCs w:val="21"/>
            </w:rPr>
            <w:fldChar w:fldCharType="separate"/>
          </w:r>
          <w:r>
            <w:rPr>
              <w:rFonts w:hint="eastAsia"/>
              <w:lang w:val="en-US" w:eastAsia="zh-CN"/>
            </w:rPr>
            <w:t>7</w:t>
          </w:r>
          <w:r>
            <w:rPr>
              <w:rFonts w:hint="eastAsia"/>
            </w:rPr>
            <w:t xml:space="preserve"> </w:t>
          </w:r>
          <w:r>
            <w:rPr>
              <w:rFonts w:hint="eastAsia"/>
              <w:lang w:val="en-US" w:eastAsia="zh-CN"/>
            </w:rPr>
            <w:t xml:space="preserve"> 多源路面病害数据融合</w:t>
          </w:r>
          <w:r>
            <w:tab/>
          </w:r>
          <w:r>
            <w:fldChar w:fldCharType="begin"/>
          </w:r>
          <w:r>
            <w:instrText xml:space="preserve"> PAGEREF _Toc19552 \h </w:instrText>
          </w:r>
          <w:r>
            <w:fldChar w:fldCharType="separate"/>
          </w:r>
          <w:r>
            <w:t>13</w:t>
          </w:r>
          <w:r>
            <w:fldChar w:fldCharType="end"/>
          </w:r>
          <w:r>
            <w:rPr>
              <w:rFonts w:hint="eastAsia" w:asciiTheme="minorEastAsia" w:hAnsiTheme="minorEastAsia" w:eastAsiaTheme="minorEastAsia" w:cstheme="minorEastAsia"/>
              <w:szCs w:val="21"/>
            </w:rPr>
            <w:fldChar w:fldCharType="end"/>
          </w:r>
        </w:p>
        <w:p w14:paraId="101547C2">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_Toc8320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A</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_Toc8649 </w:instrText>
          </w:r>
          <w:r>
            <w:rPr>
              <w:rFonts w:hint="eastAsia" w:asciiTheme="minorEastAsia" w:hAnsiTheme="minorEastAsia" w:eastAsiaTheme="minorEastAsia" w:cstheme="minorEastAsia"/>
              <w:szCs w:val="21"/>
            </w:rPr>
            <w:fldChar w:fldCharType="separate"/>
          </w:r>
          <w:r>
            <w:rPr>
              <w:rFonts w:hint="eastAsia"/>
            </w:rPr>
            <w:t>路面(平整度、构造深度、车辙、破损、跳车、磨耗）试验检测记录表</w:t>
          </w:r>
          <w:r>
            <w:tab/>
          </w:r>
          <w:r>
            <w:fldChar w:fldCharType="begin"/>
          </w:r>
          <w:r>
            <w:instrText xml:space="preserve"> PAGEREF _Toc8649 \h </w:instrText>
          </w:r>
          <w:r>
            <w:fldChar w:fldCharType="separate"/>
          </w:r>
          <w:r>
            <w:t>15</w:t>
          </w:r>
          <w:r>
            <w:fldChar w:fldCharType="end"/>
          </w:r>
          <w:r>
            <w:rPr>
              <w:rFonts w:hint="eastAsia" w:asciiTheme="minorEastAsia" w:hAnsiTheme="minorEastAsia" w:eastAsiaTheme="minorEastAsia" w:cstheme="minorEastAsia"/>
              <w:szCs w:val="21"/>
            </w:rPr>
            <w:fldChar w:fldCharType="end"/>
          </w:r>
        </w:p>
        <w:p w14:paraId="54BC7C73">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_Toc15009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B</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_Toc6386 </w:instrText>
          </w:r>
          <w:r>
            <w:rPr>
              <w:rFonts w:hint="eastAsia" w:asciiTheme="minorEastAsia" w:hAnsiTheme="minorEastAsia" w:eastAsiaTheme="minorEastAsia" w:cstheme="minorEastAsia"/>
              <w:szCs w:val="21"/>
            </w:rPr>
            <w:fldChar w:fldCharType="separate"/>
          </w:r>
          <w:r>
            <w:rPr>
              <w:rFonts w:hint="eastAsia"/>
              <w:lang w:val="en-US" w:eastAsia="zh-CN"/>
            </w:rPr>
            <w:t>路面三维激光点云数据采集记录表</w:t>
          </w:r>
          <w:r>
            <w:tab/>
          </w:r>
          <w:r>
            <w:fldChar w:fldCharType="begin"/>
          </w:r>
          <w:r>
            <w:instrText xml:space="preserve"> PAGEREF _Toc6386 \h </w:instrText>
          </w:r>
          <w:r>
            <w:fldChar w:fldCharType="separate"/>
          </w:r>
          <w:r>
            <w:t>16</w:t>
          </w:r>
          <w:r>
            <w:fldChar w:fldCharType="end"/>
          </w:r>
          <w:r>
            <w:rPr>
              <w:rFonts w:hint="eastAsia" w:asciiTheme="minorEastAsia" w:hAnsiTheme="minorEastAsia" w:eastAsiaTheme="minorEastAsia" w:cstheme="minorEastAsia"/>
              <w:szCs w:val="21"/>
            </w:rPr>
            <w:fldChar w:fldCharType="end"/>
          </w:r>
        </w:p>
        <w:p w14:paraId="3BDEE242">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_Toc18089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C</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_Toc23026 </w:instrText>
          </w:r>
          <w:r>
            <w:rPr>
              <w:rFonts w:hint="eastAsia" w:asciiTheme="minorEastAsia" w:hAnsiTheme="minorEastAsia" w:eastAsiaTheme="minorEastAsia" w:cstheme="minorEastAsia"/>
              <w:szCs w:val="21"/>
            </w:rPr>
            <w:fldChar w:fldCharType="separate"/>
          </w:r>
          <w:r>
            <w:rPr>
              <w:rFonts w:hint="eastAsia"/>
            </w:rPr>
            <w:t>探地雷达检测记录表</w:t>
          </w:r>
          <w:r>
            <w:tab/>
          </w:r>
          <w:r>
            <w:fldChar w:fldCharType="begin"/>
          </w:r>
          <w:r>
            <w:instrText xml:space="preserve"> PAGEREF _Toc23026 \h </w:instrText>
          </w:r>
          <w:r>
            <w:fldChar w:fldCharType="separate"/>
          </w:r>
          <w:r>
            <w:t>17</w:t>
          </w:r>
          <w:r>
            <w:fldChar w:fldCharType="end"/>
          </w:r>
          <w:r>
            <w:rPr>
              <w:rFonts w:hint="eastAsia" w:asciiTheme="minorEastAsia" w:hAnsiTheme="minorEastAsia" w:eastAsiaTheme="minorEastAsia" w:cstheme="minorEastAsia"/>
              <w:szCs w:val="21"/>
            </w:rPr>
            <w:fldChar w:fldCharType="end"/>
          </w:r>
        </w:p>
        <w:p w14:paraId="1469E669">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_Toc10106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D</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_Toc21165 </w:instrText>
          </w:r>
          <w:r>
            <w:rPr>
              <w:rFonts w:hint="eastAsia" w:asciiTheme="minorEastAsia" w:hAnsiTheme="minorEastAsia" w:eastAsiaTheme="minorEastAsia" w:cstheme="minorEastAsia"/>
              <w:szCs w:val="21"/>
            </w:rPr>
            <w:fldChar w:fldCharType="separate"/>
          </w:r>
          <w:r>
            <w:rPr>
              <w:rFonts w:hint="eastAsia"/>
              <w:lang w:val="en-US" w:eastAsia="zh-CN"/>
            </w:rPr>
            <w:t>三维</w:t>
          </w:r>
          <w:r>
            <w:rPr>
              <w:rFonts w:hint="eastAsia"/>
            </w:rPr>
            <w:t>探地雷达</w:t>
          </w:r>
          <w:r>
            <w:rPr>
              <w:rFonts w:hint="eastAsia"/>
              <w:lang w:val="en-US" w:eastAsia="zh-CN"/>
            </w:rPr>
            <w:t>病害信息卡</w:t>
          </w:r>
          <w:r>
            <w:tab/>
          </w:r>
          <w:r>
            <w:fldChar w:fldCharType="begin"/>
          </w:r>
          <w:r>
            <w:instrText xml:space="preserve"> PAGEREF _Toc21165 \h </w:instrText>
          </w:r>
          <w:r>
            <w:fldChar w:fldCharType="separate"/>
          </w:r>
          <w:r>
            <w:t>18</w:t>
          </w:r>
          <w:r>
            <w:fldChar w:fldCharType="end"/>
          </w:r>
          <w:r>
            <w:rPr>
              <w:rFonts w:hint="eastAsia" w:asciiTheme="minorEastAsia" w:hAnsiTheme="minorEastAsia" w:eastAsiaTheme="minorEastAsia" w:cstheme="minorEastAsia"/>
              <w:szCs w:val="21"/>
            </w:rPr>
            <w:fldChar w:fldCharType="end"/>
          </w:r>
        </w:p>
        <w:p w14:paraId="3763E6AD">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_Toc22500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E</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_Toc11584 </w:instrText>
          </w:r>
          <w:r>
            <w:rPr>
              <w:rFonts w:hint="eastAsia" w:asciiTheme="minorEastAsia" w:hAnsiTheme="minorEastAsia" w:eastAsiaTheme="minorEastAsia" w:cstheme="minorEastAsia"/>
              <w:szCs w:val="21"/>
            </w:rPr>
            <w:fldChar w:fldCharType="separate"/>
          </w:r>
          <w:r>
            <w:rPr>
              <w:rFonts w:hint="eastAsia"/>
              <w:lang w:val="en-US" w:eastAsia="zh-CN"/>
            </w:rPr>
            <w:t>三维探地雷达病害统计表</w:t>
          </w:r>
          <w:r>
            <w:tab/>
          </w:r>
          <w:r>
            <w:fldChar w:fldCharType="begin"/>
          </w:r>
          <w:r>
            <w:instrText xml:space="preserve"> PAGEREF _Toc11584 \h </w:instrText>
          </w:r>
          <w:r>
            <w:fldChar w:fldCharType="separate"/>
          </w:r>
          <w:r>
            <w:t>19</w:t>
          </w:r>
          <w:r>
            <w:fldChar w:fldCharType="end"/>
          </w:r>
          <w:r>
            <w:rPr>
              <w:rFonts w:hint="eastAsia" w:asciiTheme="minorEastAsia" w:hAnsiTheme="minorEastAsia" w:eastAsiaTheme="minorEastAsia" w:cstheme="minorEastAsia"/>
              <w:szCs w:val="21"/>
            </w:rPr>
            <w:fldChar w:fldCharType="end"/>
          </w:r>
        </w:p>
        <w:p w14:paraId="756347C4">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_Toc20952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F</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_Toc15097 </w:instrText>
          </w:r>
          <w:r>
            <w:rPr>
              <w:rFonts w:hint="eastAsia" w:asciiTheme="minorEastAsia" w:hAnsiTheme="minorEastAsia" w:eastAsiaTheme="minorEastAsia" w:cstheme="minorEastAsia"/>
              <w:szCs w:val="21"/>
            </w:rPr>
            <w:fldChar w:fldCharType="separate"/>
          </w:r>
          <w:r>
            <w:rPr>
              <w:rFonts w:hint="eastAsia"/>
              <w:lang w:val="en-US" w:eastAsia="zh-CN"/>
            </w:rPr>
            <w:t>典型雷达图谱</w:t>
          </w:r>
          <w:r>
            <w:tab/>
          </w:r>
          <w:r>
            <w:fldChar w:fldCharType="begin"/>
          </w:r>
          <w:r>
            <w:instrText xml:space="preserve"> PAGEREF _Toc15097 \h </w:instrText>
          </w:r>
          <w:r>
            <w:fldChar w:fldCharType="separate"/>
          </w:r>
          <w:r>
            <w:t>20</w:t>
          </w:r>
          <w:r>
            <w:fldChar w:fldCharType="end"/>
          </w:r>
          <w:r>
            <w:rPr>
              <w:rFonts w:hint="eastAsia" w:asciiTheme="minorEastAsia" w:hAnsiTheme="minorEastAsia" w:eastAsiaTheme="minorEastAsia" w:cstheme="minorEastAsia"/>
              <w:szCs w:val="21"/>
            </w:rPr>
            <w:fldChar w:fldCharType="end"/>
          </w:r>
        </w:p>
        <w:p w14:paraId="2A6A22C5">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仿宋_GB2312"/>
              <w:bCs/>
              <w:kern w:val="2"/>
              <w:sz w:val="21"/>
              <w:szCs w:val="36"/>
              <w:lang w:val="en-US" w:eastAsia="zh-CN" w:bidi="ar-SA"/>
            </w:rPr>
          </w:pPr>
          <w:r>
            <w:rPr>
              <w:rFonts w:hint="eastAsia" w:asciiTheme="minorEastAsia" w:hAnsiTheme="minorEastAsia" w:eastAsiaTheme="minorEastAsia" w:cstheme="minorEastAsia"/>
              <w:szCs w:val="21"/>
            </w:rPr>
            <w:fldChar w:fldCharType="end"/>
          </w:r>
        </w:p>
      </w:sdtContent>
    </w:sdt>
    <w:p w14:paraId="2B83C0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仿宋_GB2312"/>
          <w:bCs/>
          <w:kern w:val="2"/>
          <w:sz w:val="21"/>
          <w:szCs w:val="36"/>
          <w:lang w:val="en-US" w:eastAsia="zh-CN" w:bidi="ar-SA"/>
        </w:rPr>
        <w:sectPr>
          <w:headerReference r:id="rId8" w:type="default"/>
          <w:footerReference r:id="rId10" w:type="default"/>
          <w:headerReference r:id="rId9" w:type="even"/>
          <w:footerReference r:id="rId11" w:type="even"/>
          <w:pgSz w:w="11906" w:h="16838"/>
          <w:pgMar w:top="1417" w:right="1134" w:bottom="1134" w:left="1417" w:header="1134" w:footer="1134" w:gutter="0"/>
          <w:pgBorders>
            <w:top w:val="none" w:sz="0" w:space="0"/>
            <w:left w:val="none" w:sz="0" w:space="0"/>
            <w:bottom w:val="none" w:sz="0" w:space="0"/>
            <w:right w:val="none" w:sz="0" w:space="0"/>
          </w:pgBorders>
          <w:pgNumType w:fmt="upperRoman" w:start="1"/>
          <w:cols w:space="425" w:num="1"/>
          <w:docGrid w:type="lines" w:linePitch="312" w:charSpace="0"/>
        </w:sectPr>
      </w:pPr>
    </w:p>
    <w:p w14:paraId="6E54B4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仿宋_GB2312"/>
          <w:bCs/>
          <w:kern w:val="2"/>
          <w:sz w:val="21"/>
          <w:szCs w:val="36"/>
          <w:lang w:val="en-US" w:eastAsia="zh-CN" w:bidi="ar-SA"/>
        </w:rPr>
      </w:pPr>
    </w:p>
    <w:p w14:paraId="6DF2AD2C">
      <w:pPr>
        <w:keepNext w:val="0"/>
        <w:keepLines w:val="0"/>
        <w:pageBreakBefore w:val="0"/>
        <w:widowControl w:val="0"/>
        <w:tabs>
          <w:tab w:val="left" w:pos="9064"/>
        </w:tabs>
        <w:kinsoku/>
        <w:wordWrap/>
        <w:overflowPunct/>
        <w:topLinePunct w:val="0"/>
        <w:autoSpaceDE/>
        <w:autoSpaceDN/>
        <w:bidi w:val="0"/>
        <w:adjustRightInd w:val="0"/>
        <w:snapToGrid w:val="0"/>
        <w:spacing w:after="680" w:line="240" w:lineRule="auto"/>
        <w:ind w:right="0" w:rightChars="0" w:firstLine="0" w:firstLineChars="0"/>
        <w:jc w:val="center"/>
        <w:textAlignment w:val="auto"/>
        <w:outlineLvl w:val="0"/>
        <w:rPr>
          <w:rFonts w:hint="eastAsia" w:ascii="黑体" w:hAnsi="黑体" w:eastAsia="黑体" w:cs="黑体"/>
          <w:b/>
          <w:bCs/>
          <w:sz w:val="32"/>
          <w:szCs w:val="32"/>
        </w:rPr>
        <w:sectPr>
          <w:footerReference r:id="rId12" w:type="default"/>
          <w:footerReference r:id="rId13" w:type="even"/>
          <w:pgSz w:w="11906" w:h="16838"/>
          <w:pgMar w:top="1417" w:right="1134" w:bottom="1134" w:left="1417" w:header="1134" w:footer="1134" w:gutter="0"/>
          <w:pgBorders>
            <w:top w:val="none" w:sz="0" w:space="0"/>
            <w:left w:val="none" w:sz="0" w:space="0"/>
            <w:bottom w:val="none" w:sz="0" w:space="0"/>
            <w:right w:val="none" w:sz="0" w:space="0"/>
          </w:pgBorders>
          <w:pgNumType w:fmt="upperRoman" w:start="1"/>
          <w:cols w:space="425" w:num="1"/>
          <w:docGrid w:type="lines" w:linePitch="312" w:charSpace="0"/>
        </w:sectPr>
      </w:pPr>
      <w:bookmarkStart w:id="1" w:name="_Toc29019"/>
      <w:bookmarkStart w:id="2" w:name="_Toc30752"/>
      <w:bookmarkStart w:id="3" w:name="_Toc2942"/>
    </w:p>
    <w:p w14:paraId="5E98B3DA">
      <w:pPr>
        <w:keepNext w:val="0"/>
        <w:keepLines w:val="0"/>
        <w:pageBreakBefore w:val="0"/>
        <w:widowControl w:val="0"/>
        <w:tabs>
          <w:tab w:val="left" w:pos="9064"/>
        </w:tabs>
        <w:kinsoku/>
        <w:wordWrap/>
        <w:overflowPunct/>
        <w:topLinePunct w:val="0"/>
        <w:autoSpaceDE/>
        <w:autoSpaceDN/>
        <w:bidi w:val="0"/>
        <w:adjustRightInd w:val="0"/>
        <w:snapToGrid w:val="0"/>
        <w:spacing w:after="680" w:line="240" w:lineRule="auto"/>
        <w:ind w:right="0" w:rightChars="0" w:firstLine="0" w:firstLineChars="0"/>
        <w:jc w:val="center"/>
        <w:textAlignment w:val="auto"/>
        <w:outlineLvl w:val="0"/>
        <w:rPr>
          <w:rFonts w:hint="eastAsia" w:ascii="仿宋_GB2312" w:hAnsi="仿宋_GB2312" w:eastAsia="仿宋_GB2312" w:cs="仿宋_GB2312"/>
          <w:sz w:val="32"/>
          <w:szCs w:val="32"/>
        </w:rPr>
      </w:pPr>
      <w:r>
        <w:rPr>
          <w:rFonts w:hint="eastAsia" w:ascii="黑体" w:hAnsi="黑体" w:eastAsia="黑体" w:cs="黑体"/>
          <w:b/>
          <w:bCs/>
          <w:sz w:val="32"/>
          <w:szCs w:val="32"/>
        </w:rPr>
        <w:t xml:space="preserve">前 </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言</w:t>
      </w:r>
      <w:bookmarkEnd w:id="1"/>
      <w:bookmarkEnd w:id="2"/>
      <w:bookmarkEnd w:id="3"/>
    </w:p>
    <w:p w14:paraId="6E1838AF">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为适应贵州省高速公路“建养并重”的发展需求，规范路面病害检测技术，提升养护管理科学化水平，根据《</w:t>
      </w:r>
      <w:r>
        <w:rPr>
          <w:rFonts w:hint="eastAsia" w:asciiTheme="minorEastAsia" w:hAnsiTheme="minorEastAsia" w:eastAsiaTheme="minorEastAsia" w:cstheme="minorEastAsia"/>
          <w:lang w:val="en-US" w:eastAsia="zh-CN"/>
        </w:rPr>
        <w:t>多功能路况快速检测设备</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lang w:val="en-US" w:eastAsia="zh-CN"/>
        </w:rPr>
        <w:t>GB/T 26764</w:t>
      </w:r>
      <w:r>
        <w:rPr>
          <w:rFonts w:hint="eastAsia" w:asciiTheme="minorEastAsia" w:hAnsiTheme="minorEastAsia" w:eastAsiaTheme="minorEastAsia" w:cstheme="minorEastAsia"/>
          <w:sz w:val="21"/>
          <w:szCs w:val="21"/>
          <w:lang w:val="en-US" w:eastAsia="zh-CN"/>
        </w:rPr>
        <w:t>）和《公路技术状况评定标准》(JTG 5210)及《公路养护技术规范》（JTG 5142）等标准及规范，结合贵州省山区高速公路特点，制定本指南。</w:t>
      </w:r>
    </w:p>
    <w:p w14:paraId="458BE988">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至本世纪初以来，贵州省高速公路从无到有、发展迅速，截至2025年3月，全省通车里程达9042公里，其中贵州高速公路集团有限公司运营管理里程4200余公里，路网布局基本成型。贵州山区高速公路具有地形复杂、气候多变（昼夜温差大、降雨频繁）、桥隧结构物多等特点，随着贵州省经济快速发展与汽车保有量持续增长，沥青路面病害（如破损、车辙、坑槽、桥头跳车、沉陷等）日益凸显，亟需通过快速精准检测技术及数字化手段，发现和识别路面表观及隐伏病害，并提供</w:t>
      </w:r>
      <w:bookmarkStart w:id="4" w:name="OLE_LINK6"/>
      <w:r>
        <w:rPr>
          <w:rFonts w:hint="eastAsia" w:asciiTheme="minorEastAsia" w:hAnsiTheme="minorEastAsia" w:eastAsiaTheme="minorEastAsia" w:cstheme="minorEastAsia"/>
          <w:sz w:val="21"/>
          <w:szCs w:val="21"/>
          <w:lang w:val="en-US" w:eastAsia="zh-CN"/>
        </w:rPr>
        <w:t>数字化、矢量化的病害检测成果</w:t>
      </w:r>
      <w:bookmarkEnd w:id="4"/>
      <w:r>
        <w:rPr>
          <w:rFonts w:hint="eastAsia" w:asciiTheme="minorEastAsia" w:hAnsiTheme="minorEastAsia" w:eastAsiaTheme="minorEastAsia" w:cstheme="minorEastAsia"/>
          <w:sz w:val="21"/>
          <w:szCs w:val="21"/>
          <w:lang w:val="en-US" w:eastAsia="zh-CN"/>
        </w:rPr>
        <w:t>，为制定适宜的养护方案提供数据支撑，从而延长路面使用寿命，降低全寿命周期养护成本，保障高速公路安全畅通运营。</w:t>
      </w:r>
    </w:p>
    <w:p w14:paraId="39A3B4E7">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本指南以三维多功能智能道路检测车、</w:t>
      </w:r>
      <w:r>
        <w:rPr>
          <w:rFonts w:hint="eastAsia"/>
          <w:lang w:val="en-US" w:eastAsia="zh-CN"/>
        </w:rPr>
        <w:t>三维探地雷达综合检测车</w:t>
      </w:r>
      <w:r>
        <w:rPr>
          <w:rFonts w:hint="eastAsia" w:asciiTheme="minorEastAsia" w:hAnsiTheme="minorEastAsia" w:eastAsiaTheme="minorEastAsia" w:cstheme="minorEastAsia"/>
          <w:sz w:val="21"/>
          <w:szCs w:val="21"/>
          <w:lang w:val="en-US" w:eastAsia="zh-CN"/>
        </w:rPr>
        <w:t>为核心技术手段，结合多源数据融合分析，规定路面表观病害和隐伏病害的检测流程，构建路表及深层病害信息模型，实现路面技术状况综合立体评估，涵盖病害数据采集、处理、分析及成果验收的全过程检测质量控制，提升路面病害检测效率与可靠性。</w:t>
      </w:r>
    </w:p>
    <w:p w14:paraId="4C262DD1">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本指南由7个部分组成:1总则；2规范性引用文件；3术语和缩略语；4基本规定；5路面表观病害及道路线形快速精准检测；6路基路面隐伏病害快速精准检测；7多源路面病害数据融合。</w:t>
      </w:r>
    </w:p>
    <w:p w14:paraId="4D85F352">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本指南适用于贵州省高速公路集团有限公司管辖范围内沥青路面的快速精准检测，其他等级公路及市政道路路面工程可参照执行。</w:t>
      </w:r>
    </w:p>
    <w:p w14:paraId="4307AA86">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本指南由贵州高速公路集团有限公司、贵州黔通工程技术有限公司联合起草，参编单位包括武汉夕睿光电技术有限公司，主要起草人：</w:t>
      </w:r>
    </w:p>
    <w:p w14:paraId="2E676EF3">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sectPr>
          <w:footerReference r:id="rId14" w:type="default"/>
          <w:footerReference r:id="rId15" w:type="even"/>
          <w:pgSz w:w="11906" w:h="16838"/>
          <w:pgMar w:top="1417" w:right="1134" w:bottom="1134" w:left="1417" w:header="1134" w:footer="1134"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heme="minorEastAsia" w:hAnsiTheme="minorEastAsia" w:eastAsiaTheme="minorEastAsia" w:cstheme="minorEastAsia"/>
          <w:sz w:val="21"/>
          <w:szCs w:val="21"/>
          <w:lang w:val="en-US" w:eastAsia="zh-CN"/>
        </w:rPr>
        <w:t>本指南为首次发布，将根据技术发展与实践经验定期修订。执行过程中如有建议或疑问，请函告贵州黔通工程技术有限公司（地址：贵州省贵阳市白云区，邮编：550000）</w:t>
      </w:r>
    </w:p>
    <w:p w14:paraId="543EA5BC">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sectPr>
          <w:headerReference r:id="rId16" w:type="default"/>
          <w:footerReference r:id="rId18" w:type="default"/>
          <w:headerReference r:id="rId17" w:type="even"/>
          <w:footerReference r:id="rId19" w:type="even"/>
          <w:pgSz w:w="11906" w:h="16838"/>
          <w:pgMar w:top="1417" w:right="1134" w:bottom="1134" w:left="1417" w:header="1134" w:footer="1134" w:gutter="0"/>
          <w:pgBorders>
            <w:top w:val="none" w:sz="0" w:space="0"/>
            <w:left w:val="none" w:sz="0" w:space="0"/>
            <w:bottom w:val="none" w:sz="0" w:space="0"/>
            <w:right w:val="none" w:sz="0" w:space="0"/>
          </w:pgBorders>
          <w:pgNumType w:fmt="upperRoman" w:start="1"/>
          <w:cols w:space="425" w:num="1"/>
          <w:docGrid w:type="lines" w:linePitch="312" w:charSpace="0"/>
        </w:sectPr>
      </w:pPr>
    </w:p>
    <w:p w14:paraId="30765E61">
      <w:pPr>
        <w:keepNext w:val="0"/>
        <w:keepLines w:val="0"/>
        <w:pageBreakBefore w:val="0"/>
        <w:widowControl w:val="0"/>
        <w:kinsoku/>
        <w:wordWrap/>
        <w:overflowPunct/>
        <w:topLinePunct w:val="0"/>
        <w:autoSpaceDE/>
        <w:autoSpaceDN/>
        <w:bidi w:val="0"/>
        <w:adjustRightInd/>
        <w:snapToGrid/>
        <w:spacing w:before="567" w:after="680"/>
        <w:jc w:val="center"/>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贵州山区</w:t>
      </w:r>
      <w:r>
        <w:rPr>
          <w:rFonts w:hint="eastAsia" w:ascii="黑体" w:hAnsi="黑体" w:eastAsia="黑体" w:cs="黑体"/>
          <w:sz w:val="32"/>
          <w:szCs w:val="32"/>
        </w:rPr>
        <w:t>高速公路</w:t>
      </w:r>
      <w:r>
        <w:rPr>
          <w:rFonts w:hint="eastAsia" w:ascii="黑体" w:hAnsi="黑体" w:eastAsia="黑体" w:cs="黑体"/>
          <w:sz w:val="32"/>
          <w:szCs w:val="32"/>
          <w:lang w:val="en-US" w:eastAsia="zh-CN"/>
        </w:rPr>
        <w:t>路面病害快速精准检测</w:t>
      </w:r>
      <w:r>
        <w:rPr>
          <w:rFonts w:hint="eastAsia" w:ascii="黑体" w:hAnsi="黑体" w:eastAsia="黑体" w:cs="黑体"/>
          <w:sz w:val="32"/>
          <w:szCs w:val="32"/>
        </w:rPr>
        <w:t>指南</w:t>
      </w:r>
    </w:p>
    <w:p w14:paraId="303C9674">
      <w:pPr>
        <w:pStyle w:val="2"/>
        <w:bidi w:val="0"/>
        <w:rPr>
          <w:rFonts w:hint="eastAsia"/>
        </w:rPr>
      </w:pPr>
      <w:bookmarkStart w:id="5" w:name="_Toc5197"/>
      <w:bookmarkStart w:id="6" w:name="_Toc31560"/>
      <w:bookmarkStart w:id="7" w:name="_Toc30700"/>
      <w:bookmarkStart w:id="8" w:name="_Toc16492"/>
      <w:r>
        <w:rPr>
          <w:rFonts w:hint="eastAsia"/>
          <w:lang w:val="en-US" w:eastAsia="zh-CN"/>
        </w:rPr>
        <w:t xml:space="preserve">1  </w:t>
      </w:r>
      <w:r>
        <w:rPr>
          <w:rFonts w:hint="eastAsia"/>
        </w:rPr>
        <w:t>总则</w:t>
      </w:r>
      <w:bookmarkEnd w:id="5"/>
      <w:bookmarkEnd w:id="6"/>
      <w:bookmarkEnd w:id="7"/>
      <w:bookmarkEnd w:id="8"/>
    </w:p>
    <w:p w14:paraId="6B533FB7">
      <w:pPr>
        <w:pStyle w:val="3"/>
        <w:numPr>
          <w:ilvl w:val="1"/>
          <w:numId w:val="3"/>
        </w:numPr>
        <w:bidi w:val="0"/>
        <w:rPr>
          <w:rFonts w:hint="eastAsia"/>
          <w:lang w:val="en-US" w:eastAsia="zh-CN"/>
        </w:rPr>
      </w:pPr>
      <w:r>
        <w:rPr>
          <w:rFonts w:hint="eastAsia"/>
          <w:lang w:val="en-US" w:eastAsia="zh-CN"/>
        </w:rPr>
        <w:t xml:space="preserve"> 为规范贵州高速公路路面</w:t>
      </w:r>
      <w:r>
        <w:rPr>
          <w:rFonts w:hint="eastAsia"/>
        </w:rPr>
        <w:t>路面表观病害、隐伏病害及几何线形</w:t>
      </w:r>
      <w:r>
        <w:rPr>
          <w:rFonts w:hint="eastAsia"/>
          <w:lang w:val="en-US" w:eastAsia="zh-CN"/>
        </w:rPr>
        <w:t>快速精准检测特制定本指南。</w:t>
      </w:r>
    </w:p>
    <w:p w14:paraId="7A4D1E31">
      <w:pPr>
        <w:pStyle w:val="3"/>
        <w:numPr>
          <w:ilvl w:val="1"/>
          <w:numId w:val="3"/>
        </w:numPr>
        <w:bidi w:val="0"/>
        <w:rPr>
          <w:rFonts w:hint="eastAsia"/>
          <w:lang w:val="en-US" w:eastAsia="zh-CN"/>
        </w:rPr>
      </w:pPr>
      <w:r>
        <w:rPr>
          <w:rFonts w:hint="eastAsia"/>
          <w:lang w:val="en-US" w:eastAsia="zh-CN"/>
        </w:rPr>
        <w:t xml:space="preserve"> 本指南适用于</w:t>
      </w:r>
      <w:r>
        <w:rPr>
          <w:rFonts w:hint="eastAsia"/>
        </w:rPr>
        <w:t>贵州高速公路集团有限公司所辖高速公路路面病害检测，其他等级公路</w:t>
      </w:r>
      <w:r>
        <w:rPr>
          <w:rFonts w:hint="eastAsia"/>
          <w:lang w:val="en-US" w:eastAsia="zh-CN"/>
        </w:rPr>
        <w:t>及市政工程</w:t>
      </w:r>
      <w:r>
        <w:rPr>
          <w:rFonts w:hint="eastAsia"/>
        </w:rPr>
        <w:t>可参考。</w:t>
      </w:r>
    </w:p>
    <w:p w14:paraId="22263AAF">
      <w:pPr>
        <w:pStyle w:val="3"/>
        <w:numPr>
          <w:ilvl w:val="1"/>
          <w:numId w:val="3"/>
        </w:numPr>
        <w:bidi w:val="0"/>
        <w:rPr>
          <w:rFonts w:hint="eastAsia"/>
          <w:lang w:val="en-US" w:eastAsia="zh-CN"/>
        </w:rPr>
      </w:pPr>
      <w:r>
        <w:rPr>
          <w:rFonts w:hint="eastAsia"/>
          <w:lang w:val="en-US" w:eastAsia="zh-CN"/>
        </w:rPr>
        <w:t xml:space="preserve"> 本指南采用三维多功能智能道路检测车</w:t>
      </w:r>
      <w:r>
        <w:rPr>
          <w:rFonts w:hint="eastAsia" w:asciiTheme="minorEastAsia" w:hAnsiTheme="minorEastAsia" w:eastAsiaTheme="minorEastAsia" w:cstheme="minorEastAsia"/>
          <w:sz w:val="21"/>
          <w:szCs w:val="21"/>
          <w:lang w:val="en-US" w:eastAsia="zh-CN"/>
        </w:rPr>
        <w:t>、</w:t>
      </w:r>
      <w:r>
        <w:rPr>
          <w:rFonts w:hint="eastAsia"/>
          <w:lang w:val="en-US" w:eastAsia="zh-CN"/>
        </w:rPr>
        <w:t>三维探地雷达综合检测车开展快速精准路面病害检测，并融合路面表观和隐伏病害数据，提供数字化、矢量化的路面病害及公路几何线形检测成果。</w:t>
      </w:r>
    </w:p>
    <w:p w14:paraId="6C1AC558">
      <w:pPr>
        <w:pStyle w:val="2"/>
        <w:bidi w:val="0"/>
        <w:ind w:firstLine="0"/>
        <w:rPr>
          <w:rFonts w:hint="eastAsia"/>
          <w:lang w:val="en-US" w:eastAsia="zh-CN"/>
        </w:rPr>
      </w:pPr>
      <w:bookmarkStart w:id="9" w:name="_Toc20671"/>
      <w:bookmarkStart w:id="10" w:name="_Toc12208"/>
      <w:bookmarkStart w:id="11" w:name="_Toc9406"/>
      <w:bookmarkStart w:id="12" w:name="_Toc314"/>
      <w:r>
        <w:rPr>
          <w:rFonts w:hint="eastAsia"/>
          <w:lang w:val="en-US" w:eastAsia="zh-CN"/>
        </w:rPr>
        <w:t>2  规范性引用文件</w:t>
      </w:r>
      <w:bookmarkEnd w:id="9"/>
      <w:bookmarkEnd w:id="10"/>
      <w:bookmarkEnd w:id="11"/>
      <w:bookmarkEnd w:id="12"/>
    </w:p>
    <w:p w14:paraId="7900DA32">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下列文件中的内容通过文中的规范性引用而构成本文件必不可少的条款。凡是注日期的引用文件，仅注日期的版本适用于本文件。凡是不注日期的引用文件，其最新版本适用于本指南。</w:t>
      </w:r>
      <w:bookmarkStart w:id="13" w:name="_Toc31081"/>
      <w:bookmarkStart w:id="14" w:name="_Toc20408"/>
      <w:bookmarkStart w:id="15" w:name="_Toc24242"/>
    </w:p>
    <w:p w14:paraId="408CEA76">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GB/T 26764  多功能路况快速检测设备</w:t>
      </w:r>
    </w:p>
    <w:p w14:paraId="2971A871">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GB/T 18314  全球定位系统（GPS）测量规范</w:t>
      </w:r>
    </w:p>
    <w:p w14:paraId="7F5FB82F">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GB/T 18316  数字测绘成果质量检查与验收</w:t>
      </w:r>
    </w:p>
    <w:p w14:paraId="12F734AB">
      <w:pPr>
        <w:bidi w:val="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GB/T 39602</w:t>
      </w:r>
      <w:r>
        <w:rPr>
          <w:rFonts w:hint="eastAsia" w:asciiTheme="minorEastAsia" w:hAnsiTheme="minorEastAsia" w:eastAsiaTheme="minorEastAsia" w:cstheme="minorEastAsia"/>
          <w:lang w:val="en-US" w:eastAsia="zh-CN"/>
        </w:rPr>
        <w:t xml:space="preserve"> </w:t>
      </w:r>
      <w:r>
        <w:rPr>
          <w:rFonts w:hint="default" w:asciiTheme="minorEastAsia" w:hAnsiTheme="minorEastAsia" w:eastAsiaTheme="minorEastAsia" w:cstheme="minorEastAsia"/>
          <w:lang w:val="en-US" w:eastAsia="zh-CN"/>
        </w:rPr>
        <w:t xml:space="preserve"> 车载移动测量系统通用技术规范</w:t>
      </w:r>
    </w:p>
    <w:p w14:paraId="28E718BB">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 5210    公路技术状况评定标准</w:t>
      </w:r>
    </w:p>
    <w:p w14:paraId="457C05D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 5142    公路沥青路面养护技术规范</w:t>
      </w:r>
    </w:p>
    <w:p w14:paraId="016DFD40">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JTG/T E61-2014  公路路面技术状况自动化检测规程</w:t>
      </w:r>
    </w:p>
    <w:p w14:paraId="36FBE8B8">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 3450   公路路基路面现场测试规程</w:t>
      </w:r>
    </w:p>
    <w:p w14:paraId="376058A2">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 5220   公路养护工程质量检验评定标准 第一册 土建工程</w:t>
      </w:r>
    </w:p>
    <w:p w14:paraId="446D5BC5">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JTG/T 3222  公路工程物探规程</w:t>
      </w:r>
    </w:p>
    <w:p w14:paraId="3D53BD3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JT/T 678    车载式路面损坏视频检测系统</w:t>
      </w:r>
    </w:p>
    <w:p w14:paraId="3FEFBBC3">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JJG(交通)124  公路断面探伤及结构层厚度探地雷达</w:t>
      </w:r>
    </w:p>
    <w:p w14:paraId="2B59AF3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T/CAS 516   道路三维探地雷达检测技术规程</w:t>
      </w:r>
    </w:p>
    <w:p w14:paraId="12AE56DB">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T/CHTS 10078  公路沥青路面内部状况探地雷达检测技术指南</w:t>
      </w:r>
    </w:p>
    <w:p w14:paraId="41A3EB6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CH/T 6004  车载移动测量技术规程</w:t>
      </w:r>
    </w:p>
    <w:p w14:paraId="2D7CB923">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CH/T 6003  车载移动测量系统数据规范</w:t>
      </w:r>
    </w:p>
    <w:p w14:paraId="27C94D18">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CH/T 8023  机载激光雷达数据处理技术规范</w:t>
      </w:r>
    </w:p>
    <w:p w14:paraId="1C2BBF32">
      <w:pPr>
        <w:pStyle w:val="2"/>
        <w:bidi w:val="0"/>
        <w:rPr>
          <w:rFonts w:hint="eastAsia"/>
          <w:lang w:val="en-US" w:eastAsia="zh-CN"/>
        </w:rPr>
      </w:pPr>
      <w:bookmarkStart w:id="16" w:name="_Toc29539"/>
      <w:bookmarkStart w:id="17" w:name="_Toc663"/>
      <w:bookmarkStart w:id="18" w:name="_Toc13489"/>
      <w:bookmarkStart w:id="19" w:name="_Toc601"/>
      <w:r>
        <w:rPr>
          <w:rFonts w:hint="eastAsia"/>
          <w:lang w:val="en-US" w:eastAsia="zh-CN"/>
        </w:rPr>
        <w:t>3  术语</w:t>
      </w:r>
      <w:bookmarkEnd w:id="13"/>
      <w:bookmarkEnd w:id="14"/>
      <w:bookmarkEnd w:id="15"/>
      <w:bookmarkEnd w:id="16"/>
      <w:bookmarkEnd w:id="17"/>
      <w:bookmarkEnd w:id="18"/>
      <w:r>
        <w:rPr>
          <w:rFonts w:hint="eastAsia"/>
          <w:lang w:val="en-US" w:eastAsia="zh-CN"/>
        </w:rPr>
        <w:t>和</w:t>
      </w:r>
      <w:r>
        <w:rPr>
          <w:rFonts w:hint="eastAsia"/>
          <w:b w:val="0"/>
          <w:bCs/>
          <w:lang w:val="en-US" w:eastAsia="zh-CN"/>
        </w:rPr>
        <w:t>缩略语</w:t>
      </w:r>
      <w:bookmarkEnd w:id="19"/>
    </w:p>
    <w:p w14:paraId="5BBCAE56">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lang w:val="en-US" w:eastAsia="zh-CN"/>
        </w:rPr>
      </w:pPr>
      <w:bookmarkStart w:id="20" w:name="_Toc26479"/>
      <w:bookmarkStart w:id="21" w:name="_Toc20347"/>
      <w:bookmarkStart w:id="22" w:name="_Toc23176"/>
      <w:r>
        <w:rPr>
          <w:rFonts w:hint="eastAsia" w:asciiTheme="minorEastAsia" w:hAnsiTheme="minorEastAsia" w:eastAsiaTheme="minorEastAsia" w:cstheme="minorEastAsia"/>
          <w:lang w:val="en-US" w:eastAsia="zh-CN"/>
        </w:rPr>
        <w:t>《多功能路况快速检测设备》及《道路三维探地雷达检测技术规程》界定的以及下列术语和定义适用于本文件。</w:t>
      </w:r>
      <w:bookmarkStart w:id="23" w:name="_Toc9009"/>
    </w:p>
    <w:p w14:paraId="7C3F7448">
      <w:pPr>
        <w:pStyle w:val="4"/>
        <w:pageBreakBefore w:val="0"/>
        <w:widowControl w:val="0"/>
        <w:kinsoku/>
        <w:wordWrap/>
        <w:overflowPunct/>
        <w:topLinePunct w:val="0"/>
        <w:autoSpaceDE/>
        <w:autoSpaceDN/>
        <w:bidi w:val="0"/>
        <w:spacing w:beforeLines="0" w:afterLines="0" w:line="240" w:lineRule="auto"/>
        <w:textAlignment w:val="auto"/>
        <w:rPr>
          <w:rFonts w:hint="default" w:ascii="黑体" w:hAnsi="黑体" w:eastAsia="黑体" w:cs="黑体"/>
          <w:b w:val="0"/>
          <w:bCs w:val="0"/>
          <w:sz w:val="21"/>
          <w:szCs w:val="21"/>
          <w:lang w:val="en-US" w:eastAsia="zh-CN"/>
        </w:rPr>
      </w:pPr>
      <w:r>
        <w:rPr>
          <w:rFonts w:hint="eastAsia"/>
          <w:lang w:val="en-US" w:eastAsia="zh-CN"/>
        </w:rPr>
        <w:t>3.1</w:t>
      </w:r>
      <w:bookmarkEnd w:id="23"/>
      <w:r>
        <w:rPr>
          <w:rFonts w:hint="eastAsia"/>
          <w:lang w:val="en-US" w:eastAsia="zh-CN"/>
        </w:rPr>
        <w:t xml:space="preserve"> </w:t>
      </w:r>
      <w:r>
        <w:rPr>
          <w:rFonts w:hint="eastAsia" w:ascii="黑体" w:hAnsi="黑体" w:eastAsia="黑体" w:cs="黑体"/>
          <w:b w:val="0"/>
          <w:bCs w:val="0"/>
          <w:sz w:val="21"/>
          <w:szCs w:val="21"/>
          <w:lang w:val="en-US" w:eastAsia="zh-CN"/>
        </w:rPr>
        <w:t>路面快速精准检测</w:t>
      </w:r>
      <w:r>
        <w:rPr>
          <w:rFonts w:hint="eastAsia" w:ascii="黑体" w:hAnsi="黑体" w:cs="黑体"/>
          <w:b w:val="0"/>
          <w:bCs w:val="0"/>
          <w:sz w:val="21"/>
          <w:szCs w:val="21"/>
          <w:lang w:val="en-US" w:eastAsia="zh-CN"/>
        </w:rPr>
        <w:t xml:space="preserve">  </w:t>
      </w:r>
      <w:r>
        <w:rPr>
          <w:rFonts w:hint="eastAsia" w:ascii="黑体" w:hAnsi="黑体" w:eastAsia="黑体" w:cs="黑体"/>
          <w:b w:val="0"/>
          <w:bCs w:val="0"/>
          <w:sz w:val="21"/>
          <w:szCs w:val="21"/>
          <w:lang w:val="en-US" w:eastAsia="zh-CN"/>
        </w:rPr>
        <w:t>High-Speed and High-Precision Pavement Detection</w:t>
      </w:r>
    </w:p>
    <w:p w14:paraId="4ED5970F">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以高速公路正常行驶速度，对道路几何线形、路面表观病害（如裂缝、坑槽、沉陷等）及隐伏病害（如脱空、富水体、空洞等）进行快速、高精度数据采集与分析的综合检测方法。</w:t>
      </w:r>
    </w:p>
    <w:p w14:paraId="49C4A234">
      <w:pPr>
        <w:pStyle w:val="4"/>
        <w:pageBreakBefore w:val="0"/>
        <w:widowControl w:val="0"/>
        <w:kinsoku/>
        <w:wordWrap/>
        <w:overflowPunct/>
        <w:topLinePunct w:val="0"/>
        <w:autoSpaceDE/>
        <w:autoSpaceDN/>
        <w:bidi w:val="0"/>
        <w:spacing w:beforeLines="0" w:afterLines="0" w:line="240" w:lineRule="auto"/>
        <w:textAlignment w:val="auto"/>
        <w:rPr>
          <w:rFonts w:hint="default" w:ascii="黑体" w:hAnsi="黑体" w:eastAsia="黑体" w:cs="黑体"/>
          <w:b w:val="0"/>
          <w:bCs w:val="0"/>
          <w:sz w:val="21"/>
          <w:szCs w:val="21"/>
          <w:lang w:val="en-US" w:eastAsia="zh-CN"/>
        </w:rPr>
      </w:pPr>
      <w:bookmarkStart w:id="24" w:name="_Toc15060"/>
      <w:r>
        <w:rPr>
          <w:rStyle w:val="25"/>
          <w:rFonts w:hint="eastAsia"/>
          <w:b w:val="0"/>
          <w:bCs/>
          <w:lang w:val="en-US" w:eastAsia="zh-CN"/>
        </w:rPr>
        <w:t>3.2</w:t>
      </w:r>
      <w:bookmarkEnd w:id="24"/>
      <w:r>
        <w:rPr>
          <w:rStyle w:val="25"/>
          <w:rFonts w:hint="eastAsia"/>
          <w:b w:val="0"/>
          <w:bCs/>
          <w:lang w:val="en-US" w:eastAsia="zh-CN"/>
        </w:rPr>
        <w:t xml:space="preserve">  </w:t>
      </w:r>
      <w:r>
        <w:rPr>
          <w:rFonts w:hint="eastAsia"/>
          <w:lang w:val="en-US" w:eastAsia="zh-CN"/>
        </w:rPr>
        <w:t>三维多功能智能道路检测车</w:t>
      </w:r>
      <w:r>
        <w:rPr>
          <w:rFonts w:hint="eastAsia" w:ascii="黑体" w:hAnsi="黑体" w:cs="黑体"/>
          <w:b w:val="0"/>
          <w:bCs w:val="0"/>
          <w:sz w:val="21"/>
          <w:szCs w:val="21"/>
          <w:lang w:val="en-US" w:eastAsia="zh-CN"/>
        </w:rPr>
        <w:t xml:space="preserve">  3D Multifunctional Intelligent Road Detection System</w:t>
      </w:r>
    </w:p>
    <w:p w14:paraId="01D3C982">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集成GNSS、惯性测量单元、里程计、线结构光测量及传感器同步控制系统等，采集路面车辙、平整度、跳车、构造深度、磨耗、破损数据以及高精度、高密度三维激光点云数据的一种路面多功能智能检测系统。</w:t>
      </w:r>
    </w:p>
    <w:p w14:paraId="1CA56F79">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val="0"/>
          <w:sz w:val="21"/>
          <w:szCs w:val="21"/>
          <w:lang w:val="en-US" w:eastAsia="zh-CN"/>
        </w:rPr>
      </w:pPr>
      <w:bookmarkStart w:id="25" w:name="_Toc20467"/>
      <w:r>
        <w:rPr>
          <w:rFonts w:hint="eastAsia"/>
          <w:lang w:val="en-US" w:eastAsia="zh-CN"/>
        </w:rPr>
        <w:t>3.2.1</w:t>
      </w:r>
      <w:bookmarkEnd w:id="25"/>
      <w:r>
        <w:rPr>
          <w:rFonts w:hint="eastAsia"/>
          <w:lang w:val="en-US" w:eastAsia="zh-CN"/>
        </w:rPr>
        <w:t xml:space="preserve">  </w:t>
      </w:r>
      <w:r>
        <w:rPr>
          <w:rFonts w:hint="eastAsia" w:ascii="黑体" w:hAnsi="黑体" w:eastAsia="黑体" w:cs="黑体"/>
          <w:b w:val="0"/>
          <w:bCs w:val="0"/>
          <w:sz w:val="21"/>
          <w:szCs w:val="21"/>
          <w:lang w:val="en-US" w:eastAsia="zh-CN"/>
        </w:rPr>
        <w:t>全球导航卫星系统  global navigation satellite system；GNSS</w:t>
      </w:r>
    </w:p>
    <w:p w14:paraId="2C54F5E3">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是能在地球表面或近地空间的任何地点为用户提供全天候的3维坐标和速度以及时间信息的空基无线电导航定位系统。</w:t>
      </w:r>
    </w:p>
    <w:p w14:paraId="0713C805">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val="0"/>
          <w:sz w:val="21"/>
          <w:szCs w:val="21"/>
          <w:lang w:val="en-US" w:eastAsia="zh-CN"/>
        </w:rPr>
      </w:pPr>
      <w:bookmarkStart w:id="26" w:name="_Toc11310"/>
      <w:r>
        <w:rPr>
          <w:rFonts w:hint="eastAsia"/>
          <w:lang w:val="en-US" w:eastAsia="zh-CN"/>
        </w:rPr>
        <w:t>3.2.2</w:t>
      </w:r>
      <w:bookmarkEnd w:id="26"/>
      <w:r>
        <w:rPr>
          <w:rFonts w:hint="eastAsia"/>
          <w:lang w:val="en-US" w:eastAsia="zh-CN"/>
        </w:rPr>
        <w:t xml:space="preserve"> </w:t>
      </w:r>
      <w:r>
        <w:rPr>
          <w:rFonts w:hint="eastAsia" w:ascii="黑体" w:hAnsi="黑体" w:eastAsia="黑体" w:cs="黑体"/>
          <w:b w:val="0"/>
          <w:bCs w:val="0"/>
          <w:sz w:val="21"/>
          <w:szCs w:val="21"/>
          <w:lang w:val="en-US" w:eastAsia="zh-CN"/>
        </w:rPr>
        <w:t>定位定姿系统  position and orientation system；POS</w:t>
      </w:r>
    </w:p>
    <w:p w14:paraId="6B7037E6">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用于确定传感器空间位置参数和姿态参数的系统，一般由GNSS接收机和惯性测量单元集成。</w:t>
      </w:r>
    </w:p>
    <w:p w14:paraId="39B29722">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val="0"/>
          <w:sz w:val="21"/>
          <w:szCs w:val="21"/>
          <w:lang w:val="en-US" w:eastAsia="zh-CN"/>
        </w:rPr>
      </w:pPr>
      <w:bookmarkStart w:id="27" w:name="_Toc30117"/>
      <w:r>
        <w:rPr>
          <w:rFonts w:hint="eastAsia"/>
          <w:lang w:val="en-US" w:eastAsia="zh-CN"/>
        </w:rPr>
        <w:t>3.2.3</w:t>
      </w:r>
      <w:bookmarkEnd w:id="27"/>
      <w:r>
        <w:rPr>
          <w:rFonts w:hint="eastAsia"/>
          <w:lang w:val="en-US" w:eastAsia="zh-CN"/>
        </w:rPr>
        <w:t xml:space="preserve"> </w:t>
      </w:r>
      <w:r>
        <w:rPr>
          <w:rFonts w:hint="eastAsia" w:ascii="黑体" w:hAnsi="黑体" w:eastAsia="黑体" w:cs="黑体"/>
          <w:b w:val="0"/>
          <w:bCs w:val="0"/>
          <w:sz w:val="21"/>
          <w:szCs w:val="21"/>
          <w:lang w:val="en-US" w:eastAsia="zh-CN"/>
        </w:rPr>
        <w:t>惯性测量单元  inertial measurement unit；IMU</w:t>
      </w:r>
    </w:p>
    <w:p w14:paraId="5B904DA2">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根据惯性原理，测量物体姿态角或角速度、加速度或速度增量的装置。</w:t>
      </w:r>
    </w:p>
    <w:p w14:paraId="74228034">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28" w:name="_Toc11252"/>
      <w:r>
        <w:rPr>
          <w:rFonts w:hint="eastAsia"/>
          <w:lang w:val="en-US" w:eastAsia="zh-CN"/>
        </w:rPr>
        <w:t xml:space="preserve">3.2.4 </w:t>
      </w:r>
      <w:bookmarkEnd w:id="28"/>
      <w:r>
        <w:rPr>
          <w:rFonts w:hint="eastAsia"/>
          <w:lang w:val="en-US" w:eastAsia="zh-CN"/>
        </w:rPr>
        <w:t xml:space="preserve"> </w:t>
      </w:r>
      <w:r>
        <w:rPr>
          <w:rFonts w:hint="eastAsia" w:ascii="黑体" w:hAnsi="黑体" w:eastAsia="黑体" w:cs="黑体"/>
          <w:b w:val="0"/>
          <w:bCs/>
          <w:sz w:val="21"/>
          <w:szCs w:val="21"/>
          <w:lang w:val="en-US" w:eastAsia="zh-CN"/>
        </w:rPr>
        <w:t>里程计  odometer</w:t>
      </w:r>
    </w:p>
    <w:p w14:paraId="45E675BC">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一种通过转动测量距离的装置，每转动一圈产生固定的脉冲数。实际测距时，根据脉冲数和测量轮的周长可以确定距离。</w:t>
      </w:r>
    </w:p>
    <w:p w14:paraId="27A613D7">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29" w:name="_Toc2399"/>
      <w:r>
        <w:rPr>
          <w:rFonts w:hint="eastAsia"/>
          <w:lang w:val="en-US" w:eastAsia="zh-CN"/>
        </w:rPr>
        <w:t xml:space="preserve">3.2.5 </w:t>
      </w:r>
      <w:bookmarkEnd w:id="29"/>
      <w:r>
        <w:rPr>
          <w:rFonts w:hint="eastAsia"/>
          <w:lang w:val="en-US" w:eastAsia="zh-CN"/>
        </w:rPr>
        <w:t xml:space="preserve"> </w:t>
      </w:r>
      <w:r>
        <w:rPr>
          <w:rFonts w:hint="eastAsia" w:ascii="黑体" w:hAnsi="黑体" w:eastAsia="黑体" w:cs="黑体"/>
          <w:b w:val="0"/>
          <w:bCs/>
          <w:sz w:val="21"/>
          <w:szCs w:val="21"/>
          <w:lang w:val="en-US" w:eastAsia="zh-CN"/>
        </w:rPr>
        <w:t>GNSS静态基站  GNSS base station</w:t>
      </w:r>
    </w:p>
    <w:p w14:paraId="72AB909A">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在作业区域内设立的，与车载GNSS接收机同步并连续采集GNSS观测数据的固定的GNSS观测站。</w:t>
      </w:r>
    </w:p>
    <w:p w14:paraId="7E5A7031">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0" w:name="_Toc1741"/>
      <w:r>
        <w:rPr>
          <w:rFonts w:hint="eastAsia"/>
          <w:lang w:val="en-US" w:eastAsia="zh-CN"/>
        </w:rPr>
        <w:t xml:space="preserve">3.2.6 </w:t>
      </w:r>
      <w:bookmarkEnd w:id="30"/>
      <w:r>
        <w:rPr>
          <w:rFonts w:hint="eastAsia"/>
          <w:lang w:val="en-US" w:eastAsia="zh-CN"/>
        </w:rPr>
        <w:t xml:space="preserve"> </w:t>
      </w:r>
      <w:r>
        <w:rPr>
          <w:rFonts w:hint="eastAsia" w:ascii="黑体" w:hAnsi="黑体" w:eastAsia="黑体" w:cs="黑体"/>
          <w:b w:val="0"/>
          <w:bCs/>
          <w:sz w:val="21"/>
          <w:szCs w:val="21"/>
          <w:lang w:val="en-US" w:eastAsia="zh-CN"/>
        </w:rPr>
        <w:t>点云  point cloud</w:t>
      </w:r>
    </w:p>
    <w:p w14:paraId="7F912038">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以离散、不规则方式分布在三维空间中的点的集合。</w:t>
      </w:r>
    </w:p>
    <w:p w14:paraId="64BBC0CA">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1" w:name="_Toc18792"/>
      <w:r>
        <w:rPr>
          <w:rFonts w:hint="eastAsia"/>
          <w:lang w:val="en-US" w:eastAsia="zh-CN"/>
        </w:rPr>
        <w:t xml:space="preserve">3.2.7 </w:t>
      </w:r>
      <w:bookmarkEnd w:id="31"/>
      <w:r>
        <w:rPr>
          <w:rFonts w:hint="eastAsia"/>
          <w:lang w:val="en-US" w:eastAsia="zh-CN"/>
        </w:rPr>
        <w:t xml:space="preserve"> </w:t>
      </w:r>
      <w:r>
        <w:rPr>
          <w:rFonts w:hint="eastAsia" w:ascii="黑体" w:hAnsi="黑体" w:eastAsia="黑体" w:cs="黑体"/>
          <w:b w:val="0"/>
          <w:bCs/>
          <w:sz w:val="21"/>
          <w:szCs w:val="21"/>
          <w:lang w:val="en-US" w:eastAsia="zh-CN"/>
        </w:rPr>
        <w:t>点云间距  spacing of point cloud</w:t>
      </w:r>
    </w:p>
    <w:p w14:paraId="5F097885">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点云数据相邻两点之间的平面距离。</w:t>
      </w:r>
    </w:p>
    <w:p w14:paraId="321D7DC7">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2" w:name="_Toc7446"/>
      <w:r>
        <w:rPr>
          <w:rFonts w:hint="eastAsia"/>
          <w:lang w:val="en-US" w:eastAsia="zh-CN"/>
        </w:rPr>
        <w:t>3.2.8</w:t>
      </w:r>
      <w:bookmarkEnd w:id="32"/>
      <w:r>
        <w:rPr>
          <w:rFonts w:hint="eastAsia"/>
          <w:lang w:val="en-US" w:eastAsia="zh-CN"/>
        </w:rPr>
        <w:t xml:space="preserve">  </w:t>
      </w:r>
      <w:r>
        <w:rPr>
          <w:rFonts w:hint="eastAsia" w:ascii="黑体" w:hAnsi="黑体" w:eastAsia="黑体" w:cs="黑体"/>
          <w:b w:val="0"/>
          <w:bCs/>
          <w:sz w:val="21"/>
          <w:szCs w:val="21"/>
          <w:lang w:val="en-US" w:eastAsia="zh-CN"/>
        </w:rPr>
        <w:t>点云配准 multi-source data fusion</w:t>
      </w:r>
    </w:p>
    <w:p w14:paraId="143B987E">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对不同车道、不同周期采集的点云数据进行融合配准，转化到统一坐标下，形成几何空间一致的数据集。</w:t>
      </w:r>
    </w:p>
    <w:p w14:paraId="480331A1">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3" w:name="_Toc11003"/>
      <w:r>
        <w:rPr>
          <w:rFonts w:hint="eastAsia"/>
          <w:lang w:val="en-US" w:eastAsia="zh-CN"/>
        </w:rPr>
        <w:t>3.3</w:t>
      </w:r>
      <w:bookmarkEnd w:id="33"/>
      <w:r>
        <w:rPr>
          <w:rFonts w:hint="eastAsia"/>
          <w:lang w:val="en-US" w:eastAsia="zh-CN"/>
        </w:rPr>
        <w:t xml:space="preserve">  </w:t>
      </w:r>
      <w:bookmarkStart w:id="34" w:name="_Toc5165"/>
      <w:bookmarkStart w:id="35" w:name="OLE_LINK1"/>
      <w:r>
        <w:rPr>
          <w:rFonts w:hint="eastAsia" w:ascii="黑体" w:hAnsi="黑体" w:eastAsia="黑体" w:cs="黑体"/>
          <w:b w:val="0"/>
          <w:bCs/>
          <w:sz w:val="21"/>
          <w:szCs w:val="21"/>
          <w:lang w:val="en-US" w:eastAsia="zh-CN"/>
        </w:rPr>
        <w:t>三维</w:t>
      </w:r>
      <w:r>
        <w:rPr>
          <w:rFonts w:hint="eastAsia" w:cs="黑体"/>
          <w:b w:val="0"/>
          <w:bCs/>
          <w:sz w:val="21"/>
          <w:szCs w:val="21"/>
          <w:lang w:val="en-US" w:eastAsia="zh-CN"/>
        </w:rPr>
        <w:t>探地</w:t>
      </w:r>
      <w:r>
        <w:rPr>
          <w:rFonts w:hint="eastAsia" w:ascii="黑体" w:hAnsi="黑体" w:eastAsia="黑体" w:cs="黑体"/>
          <w:b w:val="0"/>
          <w:bCs/>
          <w:sz w:val="21"/>
          <w:szCs w:val="21"/>
          <w:lang w:val="en-US" w:eastAsia="zh-CN"/>
        </w:rPr>
        <w:t>雷达</w:t>
      </w:r>
      <w:bookmarkEnd w:id="34"/>
      <w:r>
        <w:rPr>
          <w:rFonts w:hint="eastAsia" w:ascii="黑体" w:hAnsi="黑体" w:cs="黑体"/>
          <w:b w:val="0"/>
          <w:bCs/>
          <w:sz w:val="21"/>
          <w:szCs w:val="21"/>
          <w:lang w:val="en-US" w:eastAsia="zh-CN"/>
        </w:rPr>
        <w:t xml:space="preserve"> </w:t>
      </w:r>
      <w:r>
        <w:rPr>
          <w:rFonts w:ascii="Times New Roman" w:hAnsi="Times New Roman" w:eastAsia="Times New Roman" w:cs="Times New Roman"/>
          <w:b/>
          <w:bCs/>
          <w:spacing w:val="4"/>
          <w:sz w:val="20"/>
          <w:szCs w:val="20"/>
        </w:rPr>
        <w:t>3</w:t>
      </w:r>
      <w:r>
        <w:rPr>
          <w:rFonts w:ascii="Times New Roman" w:hAnsi="Times New Roman" w:eastAsia="Times New Roman" w:cs="Times New Roman"/>
          <w:b/>
          <w:bCs/>
          <w:sz w:val="20"/>
          <w:szCs w:val="20"/>
        </w:rPr>
        <w:t>d</w:t>
      </w:r>
      <w:r>
        <w:rPr>
          <w:rFonts w:ascii="Times New Roman" w:hAnsi="Times New Roman" w:eastAsia="Times New Roman" w:cs="Times New Roman"/>
          <w:b/>
          <w:bCs/>
          <w:spacing w:val="6"/>
          <w:sz w:val="20"/>
          <w:szCs w:val="20"/>
        </w:rPr>
        <w:t xml:space="preserve"> </w:t>
      </w:r>
      <w:r>
        <w:rPr>
          <w:rFonts w:ascii="Times New Roman" w:hAnsi="Times New Roman" w:eastAsia="Times New Roman" w:cs="Times New Roman"/>
          <w:b/>
          <w:bCs/>
          <w:sz w:val="20"/>
          <w:szCs w:val="20"/>
        </w:rPr>
        <w:t>ground</w:t>
      </w:r>
      <w:r>
        <w:rPr>
          <w:rFonts w:ascii="Times New Roman" w:hAnsi="Times New Roman" w:eastAsia="Times New Roman" w:cs="Times New Roman"/>
          <w:b/>
          <w:bCs/>
          <w:spacing w:val="4"/>
          <w:sz w:val="20"/>
          <w:szCs w:val="20"/>
        </w:rPr>
        <w:t xml:space="preserve"> </w:t>
      </w:r>
      <w:r>
        <w:rPr>
          <w:rFonts w:ascii="Times New Roman" w:hAnsi="Times New Roman" w:eastAsia="Times New Roman" w:cs="Times New Roman"/>
          <w:b/>
          <w:bCs/>
          <w:sz w:val="20"/>
          <w:szCs w:val="20"/>
        </w:rPr>
        <w:t>penetrating</w:t>
      </w:r>
      <w:r>
        <w:rPr>
          <w:rFonts w:ascii="Times New Roman" w:hAnsi="Times New Roman" w:eastAsia="Times New Roman" w:cs="Times New Roman"/>
          <w:b/>
          <w:bCs/>
          <w:spacing w:val="7"/>
          <w:sz w:val="20"/>
          <w:szCs w:val="20"/>
        </w:rPr>
        <w:t xml:space="preserve"> </w:t>
      </w:r>
      <w:r>
        <w:rPr>
          <w:rFonts w:ascii="Times New Roman" w:hAnsi="Times New Roman" w:eastAsia="Times New Roman" w:cs="Times New Roman"/>
          <w:b/>
          <w:bCs/>
          <w:sz w:val="20"/>
          <w:szCs w:val="20"/>
        </w:rPr>
        <w:t>radar</w:t>
      </w:r>
    </w:p>
    <w:bookmarkEnd w:id="35"/>
    <w:p w14:paraId="315C69F7">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采用阵列天线激发、接收技术，通过对</w:t>
      </w:r>
      <w:r>
        <w:rPr>
          <w:rFonts w:hint="eastAsia"/>
          <w:lang w:val="en-US" w:eastAsia="zh-CN"/>
        </w:rPr>
        <w:t>路面</w:t>
      </w:r>
      <w:r>
        <w:rPr>
          <w:rFonts w:hint="eastAsia" w:ascii="宋体" w:hAnsi="宋体" w:eastAsia="宋体"/>
          <w:lang w:val="en-US" w:eastAsia="zh-CN"/>
        </w:rPr>
        <w:t>区域探测，能够形成高密度三维立体电磁波数据，并形成包括横剖面、纵剖面和水平剖面成像结果的的一种探地雷达。</w:t>
      </w:r>
    </w:p>
    <w:p w14:paraId="6CB2DC9A">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6" w:name="_Toc22244"/>
      <w:r>
        <w:rPr>
          <w:rFonts w:hint="eastAsia"/>
          <w:lang w:val="en-US" w:eastAsia="zh-CN"/>
        </w:rPr>
        <w:t xml:space="preserve">3.3.1 </w:t>
      </w:r>
      <w:bookmarkEnd w:id="36"/>
      <w:r>
        <w:rPr>
          <w:rFonts w:hint="eastAsia"/>
          <w:lang w:val="en-US" w:eastAsia="zh-CN"/>
        </w:rPr>
        <w:t xml:space="preserve"> </w:t>
      </w:r>
      <w:r>
        <w:rPr>
          <w:rFonts w:hint="eastAsia" w:ascii="黑体" w:hAnsi="黑体" w:eastAsia="黑体" w:cs="黑体"/>
          <w:b w:val="0"/>
          <w:bCs/>
          <w:sz w:val="21"/>
          <w:szCs w:val="21"/>
          <w:lang w:val="en-US" w:eastAsia="zh-CN"/>
        </w:rPr>
        <w:t>天线 antenna</w:t>
      </w:r>
    </w:p>
    <w:p w14:paraId="2E54DCB4">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在探地雷达系统中，用于发射和接收电磁波的装置，分为发射天线和接收天线。按照其耦合方式，又可以分为地面耦合天线和空气耦合天线。</w:t>
      </w:r>
    </w:p>
    <w:p w14:paraId="7FB4AA92">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7" w:name="_Toc12041"/>
      <w:r>
        <w:rPr>
          <w:rFonts w:hint="eastAsia"/>
          <w:lang w:val="en-US" w:eastAsia="zh-CN"/>
        </w:rPr>
        <w:t xml:space="preserve">3.3.2 </w:t>
      </w:r>
      <w:bookmarkEnd w:id="37"/>
      <w:r>
        <w:rPr>
          <w:rFonts w:hint="eastAsia"/>
          <w:lang w:val="en-US" w:eastAsia="zh-CN"/>
        </w:rPr>
        <w:t xml:space="preserve"> </w:t>
      </w:r>
      <w:r>
        <w:rPr>
          <w:rFonts w:hint="eastAsia" w:ascii="黑体" w:hAnsi="黑体" w:eastAsia="黑体" w:cs="黑体"/>
          <w:b w:val="0"/>
          <w:bCs/>
          <w:sz w:val="21"/>
          <w:szCs w:val="21"/>
          <w:lang w:val="en-US" w:eastAsia="zh-CN"/>
        </w:rPr>
        <w:t>主频 main frequency</w:t>
      </w:r>
    </w:p>
    <w:p w14:paraId="3E9DE356">
      <w:pPr>
        <w:bidi w:val="0"/>
        <w:rPr>
          <w:rFonts w:hint="eastAsia"/>
          <w:lang w:val="en-US" w:eastAsia="zh-CN"/>
        </w:rPr>
      </w:pPr>
      <w:r>
        <w:rPr>
          <w:rFonts w:hint="eastAsia"/>
          <w:lang w:val="en-US" w:eastAsia="zh-CN"/>
        </w:rPr>
        <w:t>频谱曲线极大值所对应的频率。</w:t>
      </w:r>
    </w:p>
    <w:p w14:paraId="4811B11F">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8" w:name="_Toc13358"/>
      <w:r>
        <w:rPr>
          <w:rFonts w:hint="eastAsia"/>
          <w:lang w:val="en-US" w:eastAsia="zh-CN"/>
        </w:rPr>
        <w:t>3.3.3</w:t>
      </w:r>
      <w:bookmarkEnd w:id="38"/>
      <w:r>
        <w:rPr>
          <w:rFonts w:hint="eastAsia"/>
          <w:lang w:val="en-US" w:eastAsia="zh-CN"/>
        </w:rPr>
        <w:t xml:space="preserve">  </w:t>
      </w:r>
      <w:r>
        <w:rPr>
          <w:rFonts w:hint="eastAsia" w:ascii="黑体" w:hAnsi="黑体" w:eastAsia="黑体" w:cs="黑体"/>
          <w:b w:val="0"/>
          <w:bCs/>
          <w:sz w:val="21"/>
          <w:szCs w:val="21"/>
          <w:lang w:val="en-US" w:eastAsia="zh-CN"/>
        </w:rPr>
        <w:t>波长 wavelength</w:t>
      </w:r>
    </w:p>
    <w:p w14:paraId="31C758D8">
      <w:pPr>
        <w:bidi w:val="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电</w:t>
      </w:r>
      <w:r>
        <w:rPr>
          <w:rFonts w:hint="eastAsia" w:ascii="宋体" w:hAnsi="宋体" w:eastAsia="宋体" w:cs="Times New Roman"/>
          <w:kern w:val="2"/>
          <w:sz w:val="21"/>
          <w:szCs w:val="24"/>
          <w:lang w:val="en-US" w:eastAsia="zh-CN" w:bidi="ar-SA"/>
        </w:rPr>
        <w:t>磁波在一个周期内所传播的距离长度，其值与波速和频率相关。</w:t>
      </w:r>
    </w:p>
    <w:p w14:paraId="56CDEEFB">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9" w:name="_Toc28848"/>
      <w:r>
        <w:rPr>
          <w:rFonts w:hint="eastAsia"/>
          <w:lang w:val="en-US" w:eastAsia="zh-CN"/>
        </w:rPr>
        <w:t>3.3.4</w:t>
      </w:r>
      <w:bookmarkEnd w:id="39"/>
      <w:r>
        <w:rPr>
          <w:rFonts w:hint="eastAsia"/>
          <w:lang w:val="en-US" w:eastAsia="zh-CN"/>
        </w:rPr>
        <w:t xml:space="preserve">  </w:t>
      </w:r>
      <w:r>
        <w:rPr>
          <w:rFonts w:hint="eastAsia" w:ascii="黑体" w:hAnsi="黑体" w:eastAsia="黑体" w:cs="黑体"/>
          <w:b w:val="0"/>
          <w:bCs/>
          <w:sz w:val="21"/>
          <w:szCs w:val="21"/>
          <w:lang w:val="en-US" w:eastAsia="zh-CN"/>
        </w:rPr>
        <w:t>分辨率 resolution</w:t>
      </w:r>
    </w:p>
    <w:p w14:paraId="0EF76072">
      <w:pPr>
        <w:pStyle w:val="7"/>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Times New Roman"/>
          <w:kern w:val="2"/>
          <w:sz w:val="21"/>
          <w:szCs w:val="24"/>
          <w:lang w:val="en-US" w:eastAsia="zh-CN" w:bidi="ar-SA"/>
        </w:rPr>
        <w:t>分辩最小异常介质体的能力，又可分为纵向分辨率和横向分辨率。</w:t>
      </w:r>
    </w:p>
    <w:p w14:paraId="340A28F9">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0" w:name="_Toc14665"/>
      <w:r>
        <w:rPr>
          <w:rFonts w:hint="eastAsia"/>
          <w:lang w:val="en-US" w:eastAsia="zh-CN"/>
        </w:rPr>
        <w:t>3.3.5</w:t>
      </w:r>
      <w:bookmarkEnd w:id="40"/>
      <w:r>
        <w:rPr>
          <w:rFonts w:hint="eastAsia"/>
          <w:lang w:val="en-US" w:eastAsia="zh-CN"/>
        </w:rPr>
        <w:t xml:space="preserve">  </w:t>
      </w:r>
      <w:r>
        <w:rPr>
          <w:rFonts w:hint="eastAsia" w:ascii="黑体" w:hAnsi="黑体" w:eastAsia="黑体" w:cs="黑体"/>
          <w:b w:val="0"/>
          <w:bCs/>
          <w:sz w:val="21"/>
          <w:szCs w:val="21"/>
          <w:lang w:val="en-US" w:eastAsia="zh-CN"/>
        </w:rPr>
        <w:t>剖面法 profile method</w:t>
      </w:r>
    </w:p>
    <w:p w14:paraId="165A3426">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发射天线和接收天线以固定间距沿测线同步移动的一种测量方式。</w:t>
      </w:r>
    </w:p>
    <w:p w14:paraId="427C9006">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1" w:name="_Toc32588"/>
      <w:r>
        <w:rPr>
          <w:rFonts w:hint="eastAsia"/>
          <w:lang w:val="en-US" w:eastAsia="zh-CN"/>
        </w:rPr>
        <w:t>3.4</w:t>
      </w:r>
      <w:bookmarkEnd w:id="41"/>
      <w:r>
        <w:rPr>
          <w:rFonts w:hint="eastAsia"/>
          <w:lang w:val="en-US" w:eastAsia="zh-CN"/>
        </w:rPr>
        <w:t xml:space="preserve">  </w:t>
      </w:r>
      <w:r>
        <w:rPr>
          <w:rFonts w:hint="eastAsia" w:ascii="黑体" w:hAnsi="黑体" w:eastAsia="黑体" w:cs="黑体"/>
          <w:b w:val="0"/>
          <w:bCs/>
          <w:sz w:val="21"/>
          <w:szCs w:val="21"/>
          <w:lang w:val="en-US" w:eastAsia="zh-CN"/>
        </w:rPr>
        <w:t>路面表观病害</w:t>
      </w:r>
      <w:r>
        <w:rPr>
          <w:rFonts w:hint="default" w:ascii="黑体" w:hAnsi="黑体" w:eastAsia="黑体" w:cs="黑体"/>
          <w:b w:val="0"/>
          <w:bCs/>
          <w:sz w:val="21"/>
          <w:szCs w:val="21"/>
          <w:lang w:val="en-US" w:eastAsia="zh-CN"/>
        </w:rPr>
        <w:t>Pavement Surface Distresses</w:t>
      </w:r>
    </w:p>
    <w:p w14:paraId="2B3D7252">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存在于路面表面的积水、沉陷、坑槽、桥头跳车等表观病害。</w:t>
      </w:r>
    </w:p>
    <w:p w14:paraId="698835FA">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2" w:name="_Toc16203"/>
      <w:r>
        <w:rPr>
          <w:rFonts w:hint="eastAsia"/>
          <w:lang w:val="en-US" w:eastAsia="zh-CN"/>
        </w:rPr>
        <w:t>3.4.1</w:t>
      </w:r>
      <w:bookmarkEnd w:id="42"/>
      <w:r>
        <w:rPr>
          <w:rFonts w:hint="eastAsia"/>
          <w:lang w:val="en-US" w:eastAsia="zh-CN"/>
        </w:rPr>
        <w:t xml:space="preserve"> </w:t>
      </w:r>
      <w:r>
        <w:rPr>
          <w:rFonts w:hint="eastAsia" w:ascii="黑体" w:hAnsi="黑体" w:eastAsia="黑体" w:cs="黑体"/>
          <w:b w:val="0"/>
          <w:bCs/>
          <w:sz w:val="21"/>
          <w:szCs w:val="21"/>
          <w:lang w:val="en-US" w:eastAsia="zh-CN"/>
        </w:rPr>
        <w:t>路面积水  Surface ponding</w:t>
      </w:r>
    </w:p>
    <w:p w14:paraId="363FEC62">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指因降雨或排水系统不畅等原因，导致液态水在道路表面暂时或持续积聚的现象。</w:t>
      </w:r>
    </w:p>
    <w:p w14:paraId="17A00EE6">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3" w:name="_Toc13544"/>
      <w:r>
        <w:rPr>
          <w:rFonts w:hint="eastAsia"/>
          <w:lang w:val="en-US" w:eastAsia="zh-CN"/>
        </w:rPr>
        <w:t>3.4.2</w:t>
      </w:r>
      <w:bookmarkEnd w:id="43"/>
      <w:r>
        <w:rPr>
          <w:rFonts w:hint="eastAsia"/>
          <w:lang w:val="en-US" w:eastAsia="zh-CN"/>
        </w:rPr>
        <w:t xml:space="preserve">  </w:t>
      </w:r>
      <w:r>
        <w:rPr>
          <w:rFonts w:hint="eastAsia" w:ascii="黑体" w:hAnsi="黑体" w:eastAsia="黑体" w:cs="黑体"/>
          <w:b w:val="0"/>
          <w:bCs/>
          <w:sz w:val="21"/>
          <w:szCs w:val="21"/>
          <w:lang w:val="en-US" w:eastAsia="zh-CN"/>
        </w:rPr>
        <w:t>路面沉陷</w:t>
      </w:r>
      <w:r>
        <w:rPr>
          <w:rFonts w:hint="eastAsia" w:ascii="黑体" w:hAnsi="黑体" w:cs="黑体"/>
          <w:b w:val="0"/>
          <w:bCs/>
          <w:sz w:val="21"/>
          <w:szCs w:val="21"/>
          <w:lang w:val="en-US" w:eastAsia="zh-CN"/>
        </w:rPr>
        <w:t xml:space="preserve"> </w:t>
      </w:r>
      <w:r>
        <w:rPr>
          <w:rFonts w:hint="eastAsia" w:ascii="黑体" w:hAnsi="黑体" w:eastAsia="黑体" w:cs="黑体"/>
          <w:b w:val="0"/>
          <w:bCs/>
          <w:sz w:val="21"/>
          <w:szCs w:val="21"/>
          <w:lang w:val="en-US" w:eastAsia="zh-CN"/>
        </w:rPr>
        <w:t xml:space="preserve"> Differential settlement</w:t>
      </w:r>
    </w:p>
    <w:p w14:paraId="38B91724">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指道路表面形成的局部凹陷区域，通常表现为路面轻微下陷或浅层变形，可能伴随裂缝或不平整。常见于路基沉降不均、施工缺陷或长期车辆荷载集中的区域。</w:t>
      </w:r>
    </w:p>
    <w:p w14:paraId="6636EF93">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4" w:name="_Toc12339"/>
      <w:r>
        <w:rPr>
          <w:rFonts w:hint="eastAsia"/>
          <w:lang w:val="en-US" w:eastAsia="zh-CN"/>
        </w:rPr>
        <w:t>3.4.3</w:t>
      </w:r>
      <w:bookmarkEnd w:id="44"/>
      <w:r>
        <w:rPr>
          <w:rFonts w:hint="eastAsia"/>
          <w:lang w:val="en-US" w:eastAsia="zh-CN"/>
        </w:rPr>
        <w:t xml:space="preserve">  </w:t>
      </w:r>
      <w:r>
        <w:rPr>
          <w:rFonts w:hint="eastAsia" w:ascii="黑体" w:hAnsi="黑体" w:eastAsia="黑体" w:cs="黑体"/>
          <w:b w:val="0"/>
          <w:bCs/>
          <w:sz w:val="21"/>
          <w:szCs w:val="21"/>
          <w:lang w:val="en-US" w:eastAsia="zh-CN"/>
        </w:rPr>
        <w:t>路面坑槽Pothole</w:t>
      </w:r>
    </w:p>
    <w:p w14:paraId="584BCAE1">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路面坑槽是指因路面材料破损、结构层失效或外部环境侵蚀（如水损害、冻融循环、重载碾压等），导致道路表面形成的局部凹陷或孔洞。</w:t>
      </w:r>
    </w:p>
    <w:p w14:paraId="54764DE0">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5" w:name="_Toc29473"/>
      <w:r>
        <w:rPr>
          <w:rFonts w:hint="eastAsia"/>
          <w:lang w:val="en-US" w:eastAsia="zh-CN"/>
        </w:rPr>
        <w:t>3.4.5</w:t>
      </w:r>
      <w:bookmarkEnd w:id="45"/>
      <w:r>
        <w:rPr>
          <w:rFonts w:hint="eastAsia"/>
          <w:lang w:val="en-US" w:eastAsia="zh-CN"/>
        </w:rPr>
        <w:t xml:space="preserve">  </w:t>
      </w:r>
      <w:r>
        <w:rPr>
          <w:rFonts w:hint="eastAsia" w:ascii="黑体" w:hAnsi="黑体" w:eastAsia="黑体" w:cs="黑体"/>
          <w:b w:val="0"/>
          <w:bCs/>
          <w:sz w:val="21"/>
          <w:szCs w:val="21"/>
          <w:lang w:val="en-US" w:eastAsia="zh-CN"/>
        </w:rPr>
        <w:t>桥头跳车Bridge Approach Bump</w:t>
      </w:r>
    </w:p>
    <w:p w14:paraId="4FAA9793">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桥头跳车是指车辆在桥梁与相邻道路连接处因沉降差异导致的颠簸现象。</w:t>
      </w:r>
    </w:p>
    <w:p w14:paraId="155650C8">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6" w:name="_Toc28764"/>
      <w:r>
        <w:rPr>
          <w:rFonts w:hint="eastAsia"/>
          <w:lang w:val="en-US" w:eastAsia="zh-CN"/>
        </w:rPr>
        <w:t>3.5</w:t>
      </w:r>
      <w:bookmarkEnd w:id="46"/>
      <w:bookmarkStart w:id="47" w:name="_Toc14668"/>
      <w:r>
        <w:rPr>
          <w:rFonts w:hint="eastAsia"/>
          <w:lang w:val="en-US" w:eastAsia="zh-CN"/>
        </w:rPr>
        <w:t xml:space="preserve">  </w:t>
      </w:r>
      <w:r>
        <w:rPr>
          <w:rFonts w:hint="eastAsia" w:ascii="黑体" w:hAnsi="黑体" w:eastAsia="黑体" w:cs="黑体"/>
          <w:b w:val="0"/>
          <w:bCs/>
          <w:sz w:val="21"/>
          <w:szCs w:val="21"/>
          <w:lang w:val="en-US" w:eastAsia="zh-CN"/>
        </w:rPr>
        <w:t>路面隐伏病害</w:t>
      </w:r>
      <w:bookmarkEnd w:id="47"/>
      <w:r>
        <w:rPr>
          <w:rFonts w:hint="eastAsia" w:ascii="黑体" w:hAnsi="黑体" w:cs="黑体"/>
          <w:b w:val="0"/>
          <w:bCs/>
          <w:sz w:val="21"/>
          <w:szCs w:val="21"/>
          <w:lang w:val="en-US" w:eastAsia="zh-CN"/>
        </w:rPr>
        <w:t xml:space="preserve"> </w:t>
      </w:r>
      <w:r>
        <w:rPr>
          <w:rFonts w:hint="eastAsia" w:ascii="黑体" w:hAnsi="黑体" w:eastAsia="黑体" w:cs="黑体"/>
          <w:b w:val="0"/>
          <w:bCs/>
          <w:color w:val="auto"/>
          <w:sz w:val="21"/>
          <w:szCs w:val="21"/>
          <w:lang w:val="en-US" w:eastAsia="zh-CN"/>
        </w:rPr>
        <w:t>underground  disasters</w:t>
      </w:r>
    </w:p>
    <w:p w14:paraId="6940DBEA">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存在于道路路基、基层和面层内部的裂缝、空洞、脱空、疏松体、富水体等不良结构体,它们对道路结构的连续性和完整性有着不同程度的影响，降低道路结构层的强度、稳定性和耐久性。</w:t>
      </w:r>
    </w:p>
    <w:p w14:paraId="3E7B337D">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8" w:name="_Toc9351"/>
      <w:r>
        <w:rPr>
          <w:rFonts w:hint="eastAsia"/>
          <w:lang w:val="en-US" w:eastAsia="zh-CN"/>
        </w:rPr>
        <w:t>3.5.1</w:t>
      </w:r>
      <w:bookmarkEnd w:id="48"/>
      <w:r>
        <w:rPr>
          <w:rFonts w:hint="eastAsia"/>
          <w:lang w:val="en-US" w:eastAsia="zh-CN"/>
        </w:rPr>
        <w:t xml:space="preserve"> </w:t>
      </w:r>
      <w:r>
        <w:rPr>
          <w:rFonts w:hint="eastAsia" w:ascii="黑体" w:hAnsi="黑体" w:cs="黑体"/>
          <w:b w:val="0"/>
          <w:bCs/>
          <w:sz w:val="21"/>
          <w:szCs w:val="21"/>
          <w:lang w:val="en-US" w:eastAsia="zh-CN"/>
        </w:rPr>
        <w:t>道路</w:t>
      </w:r>
      <w:r>
        <w:rPr>
          <w:rFonts w:hint="eastAsia" w:ascii="黑体" w:hAnsi="黑体" w:eastAsia="黑体" w:cs="黑体"/>
          <w:b w:val="0"/>
          <w:bCs/>
          <w:sz w:val="21"/>
          <w:szCs w:val="21"/>
          <w:lang w:val="en-US" w:eastAsia="zh-CN"/>
        </w:rPr>
        <w:t>空洞 macroscopic void</w:t>
      </w:r>
    </w:p>
    <w:p w14:paraId="6D55D41F">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道路结构中因水土流失、管道渗漏或施工缺陷形成的三维连续空腔，其体积≥0.1m³且界面介质波阻抗差异显著，可通过地质雷达相位反转特征识别的结构性缺陷，净高大于或等于0.3m的洞体。</w:t>
      </w:r>
    </w:p>
    <w:p w14:paraId="4EF55C6C">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9" w:name="_Toc14562"/>
      <w:r>
        <w:rPr>
          <w:rFonts w:hint="eastAsia"/>
          <w:lang w:val="en-US" w:eastAsia="zh-CN"/>
        </w:rPr>
        <w:t>3.5.2</w:t>
      </w:r>
      <w:bookmarkEnd w:id="49"/>
      <w:r>
        <w:rPr>
          <w:rFonts w:hint="eastAsia"/>
          <w:lang w:val="en-US" w:eastAsia="zh-CN"/>
        </w:rPr>
        <w:t xml:space="preserve"> </w:t>
      </w:r>
      <w:r>
        <w:rPr>
          <w:rFonts w:hint="eastAsia" w:ascii="黑体" w:hAnsi="黑体" w:cs="黑体"/>
          <w:b w:val="0"/>
          <w:bCs/>
          <w:sz w:val="21"/>
          <w:szCs w:val="21"/>
          <w:lang w:val="en-US" w:eastAsia="zh-CN"/>
        </w:rPr>
        <w:t>路面</w:t>
      </w:r>
      <w:r>
        <w:rPr>
          <w:rFonts w:hint="eastAsia" w:ascii="黑体" w:hAnsi="黑体" w:eastAsia="黑体" w:cs="黑体"/>
          <w:b w:val="0"/>
          <w:bCs/>
          <w:sz w:val="21"/>
          <w:szCs w:val="21"/>
          <w:lang w:val="en-US" w:eastAsia="zh-CN"/>
        </w:rPr>
        <w:t>脱空 pavement void</w:t>
      </w:r>
    </w:p>
    <w:p w14:paraId="2940BF0C">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bookmarkStart w:id="50" w:name="_Toc16670"/>
      <w:r>
        <w:rPr>
          <w:rFonts w:hint="eastAsia" w:ascii="宋体" w:hAnsi="宋体" w:eastAsia="宋体"/>
          <w:lang w:val="en-US" w:eastAsia="zh-CN"/>
        </w:rPr>
        <w:t>路面面层与基层之间因材料劣化或荷载作用产生的层间分离现象，其特征为结构层间粘结界面的丧失，可通过探地雷达无损检测手段识别的三维不连续空间。</w:t>
      </w:r>
    </w:p>
    <w:p w14:paraId="5896F7E9">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r>
        <w:rPr>
          <w:rFonts w:hint="eastAsia"/>
          <w:lang w:val="en-US" w:eastAsia="zh-CN"/>
        </w:rPr>
        <w:t xml:space="preserve">3.5.3 </w:t>
      </w:r>
      <w:bookmarkEnd w:id="50"/>
      <w:r>
        <w:rPr>
          <w:rFonts w:hint="eastAsia" w:ascii="黑体" w:hAnsi="黑体" w:cs="黑体"/>
          <w:b w:val="0"/>
          <w:bCs/>
          <w:sz w:val="21"/>
          <w:szCs w:val="21"/>
          <w:lang w:val="en-US" w:eastAsia="zh-CN"/>
        </w:rPr>
        <w:t>路面</w:t>
      </w:r>
      <w:r>
        <w:rPr>
          <w:rFonts w:hint="eastAsia" w:ascii="黑体" w:hAnsi="黑体" w:eastAsia="黑体" w:cs="黑体"/>
          <w:b w:val="0"/>
          <w:bCs/>
          <w:sz w:val="21"/>
          <w:szCs w:val="21"/>
          <w:lang w:val="en-US" w:eastAsia="zh-CN"/>
        </w:rPr>
        <w:t>疏松体 low-density structural body</w:t>
      </w:r>
    </w:p>
    <w:p w14:paraId="789D618C">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bookmarkStart w:id="51" w:name="_Toc16944"/>
      <w:r>
        <w:rPr>
          <w:rFonts w:hint="eastAsia" w:ascii="宋体" w:hAnsi="宋体" w:eastAsia="宋体"/>
          <w:lang w:val="en-US" w:eastAsia="zh-CN"/>
        </w:rPr>
        <w:t>道路结构层中因施工工艺缺陷、水损害或动态荷载作用导致的材料密实度异常区域。</w:t>
      </w:r>
    </w:p>
    <w:p w14:paraId="43CB6F43">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r>
        <w:rPr>
          <w:rFonts w:hint="eastAsia"/>
          <w:lang w:val="en-US" w:eastAsia="zh-CN"/>
        </w:rPr>
        <w:t xml:space="preserve">3.5.4 </w:t>
      </w:r>
      <w:bookmarkEnd w:id="51"/>
      <w:r>
        <w:rPr>
          <w:rFonts w:hint="eastAsia" w:ascii="黑体" w:hAnsi="黑体" w:cs="黑体"/>
          <w:b w:val="0"/>
          <w:bCs/>
          <w:sz w:val="21"/>
          <w:szCs w:val="21"/>
          <w:lang w:val="en-US" w:eastAsia="zh-CN"/>
        </w:rPr>
        <w:t>路面</w:t>
      </w:r>
      <w:r>
        <w:rPr>
          <w:rFonts w:hint="eastAsia" w:ascii="黑体" w:hAnsi="黑体" w:eastAsia="黑体" w:cs="黑体"/>
          <w:b w:val="0"/>
          <w:bCs/>
          <w:sz w:val="21"/>
          <w:szCs w:val="21"/>
          <w:lang w:val="en-US" w:eastAsia="zh-CN"/>
        </w:rPr>
        <w:t>富水体 moisture-enriched pavement defect</w:t>
      </w:r>
    </w:p>
    <w:p w14:paraId="4A3BDD74">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bookmarkStart w:id="52" w:name="_Toc29853"/>
      <w:r>
        <w:rPr>
          <w:rFonts w:hint="eastAsia" w:ascii="宋体" w:hAnsi="宋体" w:eastAsia="宋体"/>
          <w:lang w:val="en-US" w:eastAsia="zh-CN"/>
        </w:rPr>
        <w:t>道路结构层中因排水失效或毛细作用形成的自由水富集区域。</w:t>
      </w:r>
    </w:p>
    <w:p w14:paraId="3CF8EFE4">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r>
        <w:rPr>
          <w:rFonts w:hint="eastAsia"/>
          <w:lang w:val="en-US" w:eastAsia="zh-CN"/>
        </w:rPr>
        <w:t>3.6</w:t>
      </w:r>
      <w:bookmarkEnd w:id="52"/>
      <w:r>
        <w:rPr>
          <w:rFonts w:hint="eastAsia"/>
          <w:lang w:val="en-US" w:eastAsia="zh-CN"/>
        </w:rPr>
        <w:t xml:space="preserve"> 路面病害</w:t>
      </w:r>
      <w:r>
        <w:rPr>
          <w:rFonts w:hint="eastAsia" w:ascii="黑体" w:hAnsi="黑体" w:eastAsia="黑体" w:cs="黑体"/>
          <w:b w:val="0"/>
          <w:bCs/>
          <w:sz w:val="21"/>
          <w:szCs w:val="21"/>
          <w:lang w:val="en-US" w:eastAsia="zh-CN"/>
        </w:rPr>
        <w:t>数据融合</w:t>
      </w:r>
    </w:p>
    <w:p w14:paraId="5ABE1F06">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通过统一坐标系，</w:t>
      </w:r>
      <w:r>
        <w:rPr>
          <w:rFonts w:hint="eastAsia"/>
          <w:lang w:val="en-US" w:eastAsia="zh-CN"/>
        </w:rPr>
        <w:t>融合路面表里病害</w:t>
      </w:r>
      <w:r>
        <w:rPr>
          <w:rFonts w:hint="eastAsia" w:ascii="宋体" w:hAnsi="宋体" w:eastAsia="宋体"/>
          <w:lang w:val="en-US" w:eastAsia="zh-CN"/>
        </w:rPr>
        <w:t>数据，利用多种分析技术构建</w:t>
      </w:r>
      <w:r>
        <w:rPr>
          <w:rFonts w:hint="eastAsia"/>
          <w:lang w:val="en-US" w:eastAsia="zh-CN"/>
        </w:rPr>
        <w:t>路面病害三维信息</w:t>
      </w:r>
      <w:r>
        <w:rPr>
          <w:rFonts w:hint="eastAsia" w:ascii="宋体" w:hAnsi="宋体" w:eastAsia="宋体"/>
          <w:lang w:val="en-US" w:eastAsia="zh-CN"/>
        </w:rPr>
        <w:t>模型，从而提高</w:t>
      </w:r>
      <w:r>
        <w:rPr>
          <w:rFonts w:hint="eastAsia"/>
          <w:lang w:val="en-US" w:eastAsia="zh-CN"/>
        </w:rPr>
        <w:t>路面</w:t>
      </w:r>
      <w:r>
        <w:rPr>
          <w:rFonts w:hint="eastAsia" w:ascii="宋体" w:hAnsi="宋体" w:eastAsia="宋体"/>
          <w:lang w:val="en-US" w:eastAsia="zh-CN"/>
        </w:rPr>
        <w:t>病害</w:t>
      </w:r>
      <w:r>
        <w:rPr>
          <w:rFonts w:hint="eastAsia"/>
          <w:lang w:val="en-US" w:eastAsia="zh-CN"/>
        </w:rPr>
        <w:t>检测</w:t>
      </w:r>
      <w:r>
        <w:rPr>
          <w:rFonts w:hint="eastAsia" w:ascii="宋体" w:hAnsi="宋体" w:eastAsia="宋体"/>
          <w:lang w:val="en-US" w:eastAsia="zh-CN"/>
        </w:rPr>
        <w:t>准确性</w:t>
      </w:r>
      <w:r>
        <w:rPr>
          <w:rFonts w:hint="eastAsia"/>
          <w:lang w:val="en-US" w:eastAsia="zh-CN"/>
        </w:rPr>
        <w:t>和可靠性的一种方法</w:t>
      </w:r>
      <w:r>
        <w:rPr>
          <w:rFonts w:hint="eastAsia" w:ascii="宋体" w:hAnsi="宋体" w:eastAsia="宋体"/>
          <w:lang w:val="en-US" w:eastAsia="zh-CN"/>
        </w:rPr>
        <w:t>。</w:t>
      </w:r>
    </w:p>
    <w:p w14:paraId="54D6A64F">
      <w:pPr>
        <w:pStyle w:val="2"/>
        <w:bidi w:val="0"/>
        <w:rPr>
          <w:rFonts w:hint="eastAsia"/>
          <w:lang w:val="en-US" w:eastAsia="zh-CN"/>
        </w:rPr>
      </w:pPr>
      <w:bookmarkStart w:id="53" w:name="_Toc2592"/>
      <w:bookmarkStart w:id="54" w:name="_Toc2498"/>
      <w:bookmarkStart w:id="55" w:name="_Toc11723"/>
      <w:bookmarkStart w:id="56" w:name="_Toc32308"/>
      <w:r>
        <w:rPr>
          <w:rFonts w:hint="eastAsia"/>
          <w:b w:val="0"/>
          <w:bCs/>
          <w:lang w:val="en-US" w:eastAsia="zh-CN"/>
        </w:rPr>
        <w:t xml:space="preserve">4  </w:t>
      </w:r>
      <w:bookmarkEnd w:id="53"/>
      <w:bookmarkEnd w:id="54"/>
      <w:bookmarkEnd w:id="55"/>
      <w:r>
        <w:rPr>
          <w:rFonts w:hint="eastAsia"/>
          <w:b w:val="0"/>
          <w:bCs/>
          <w:lang w:val="en-US" w:eastAsia="zh-CN"/>
        </w:rPr>
        <w:t>基本规定</w:t>
      </w:r>
      <w:bookmarkEnd w:id="20"/>
      <w:bookmarkEnd w:id="21"/>
      <w:bookmarkEnd w:id="22"/>
      <w:bookmarkEnd w:id="56"/>
    </w:p>
    <w:p w14:paraId="41341DB5">
      <w:pPr>
        <w:pStyle w:val="3"/>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lang w:val="en-US" w:eastAsia="zh-CN"/>
        </w:rPr>
      </w:pPr>
      <w:bookmarkStart w:id="57" w:name="_Toc2115"/>
      <w:r>
        <w:rPr>
          <w:rStyle w:val="25"/>
          <w:rFonts w:hint="eastAsia"/>
          <w:lang w:val="en-US"/>
        </w:rPr>
        <w:t>4</w:t>
      </w:r>
      <w:r>
        <w:rPr>
          <w:rStyle w:val="25"/>
          <w:rFonts w:hint="eastAsia"/>
        </w:rPr>
        <w:t>.1</w:t>
      </w:r>
      <w:bookmarkEnd w:id="57"/>
      <w:r>
        <w:rPr>
          <w:rFonts w:hint="eastAsia"/>
          <w:lang w:val="en-US" w:eastAsia="zh-CN"/>
        </w:rPr>
        <w:t xml:space="preserve">  高速公路路面快速精准检测内容应包含路面表观病害、路面隐伏病害及路面几何线形等。</w:t>
      </w:r>
    </w:p>
    <w:p w14:paraId="1A38DA11">
      <w:pPr>
        <w:pStyle w:val="3"/>
        <w:bidi w:val="0"/>
        <w:rPr>
          <w:rFonts w:hint="default"/>
          <w:lang w:val="en-US" w:eastAsia="zh-CN"/>
        </w:rPr>
      </w:pPr>
      <w:bookmarkStart w:id="58" w:name="_Toc10387"/>
      <w:r>
        <w:rPr>
          <w:rStyle w:val="25"/>
          <w:rFonts w:hint="eastAsia"/>
          <w:lang w:val="en-US"/>
        </w:rPr>
        <w:t>4</w:t>
      </w:r>
      <w:r>
        <w:rPr>
          <w:rStyle w:val="25"/>
          <w:rFonts w:hint="eastAsia"/>
        </w:rPr>
        <w:t>.2</w:t>
      </w:r>
      <w:bookmarkEnd w:id="58"/>
      <w:r>
        <w:rPr>
          <w:rStyle w:val="25"/>
          <w:rFonts w:hint="eastAsia"/>
          <w:lang w:val="en-US"/>
        </w:rPr>
        <w:t xml:space="preserve">  </w:t>
      </w:r>
      <w:r>
        <w:rPr>
          <w:rFonts w:hint="eastAsia"/>
        </w:rPr>
        <w:t>日期采用公元纪年，时间采用北京时间。</w:t>
      </w:r>
    </w:p>
    <w:p w14:paraId="70ADE4B2">
      <w:pPr>
        <w:pStyle w:val="3"/>
        <w:bidi w:val="0"/>
        <w:rPr>
          <w:rFonts w:hint="eastAsia"/>
        </w:rPr>
      </w:pPr>
      <w:bookmarkStart w:id="59" w:name="_Toc1758"/>
      <w:r>
        <w:rPr>
          <w:rStyle w:val="25"/>
          <w:rFonts w:hint="eastAsia"/>
          <w:lang w:val="en-US"/>
        </w:rPr>
        <w:t>4</w:t>
      </w:r>
      <w:r>
        <w:rPr>
          <w:rStyle w:val="25"/>
          <w:rFonts w:hint="eastAsia"/>
        </w:rPr>
        <w:t>.</w:t>
      </w:r>
      <w:bookmarkEnd w:id="59"/>
      <w:r>
        <w:rPr>
          <w:rStyle w:val="25"/>
          <w:rFonts w:hint="eastAsia"/>
          <w:lang w:val="en-US"/>
        </w:rPr>
        <w:t>3</w:t>
      </w:r>
      <w:r>
        <w:rPr>
          <w:rFonts w:hint="eastAsia"/>
          <w:lang w:val="en-US" w:eastAsia="zh-CN"/>
        </w:rPr>
        <w:t xml:space="preserve">  </w:t>
      </w:r>
      <w:r>
        <w:rPr>
          <w:rFonts w:hint="eastAsia"/>
        </w:rPr>
        <w:t>平面基准应采用2000国家大地坐标系，</w:t>
      </w:r>
      <w:r>
        <w:rPr>
          <w:rFonts w:hint="eastAsia"/>
          <w:lang w:val="en-US" w:eastAsia="zh-CN"/>
        </w:rPr>
        <w:t>或</w:t>
      </w:r>
      <w:r>
        <w:rPr>
          <w:rFonts w:hint="eastAsia"/>
        </w:rPr>
        <w:t>与2000国家大地坐标系建立转换关系；高程基准应采用1985国家高程基准。</w:t>
      </w:r>
    </w:p>
    <w:p w14:paraId="49F7BDA3">
      <w:pPr>
        <w:pStyle w:val="3"/>
        <w:bidi w:val="0"/>
        <w:rPr>
          <w:rFonts w:hint="eastAsia"/>
        </w:rPr>
      </w:pPr>
      <w:bookmarkStart w:id="60" w:name="_Toc30333"/>
      <w:r>
        <w:rPr>
          <w:rStyle w:val="25"/>
          <w:rFonts w:hint="eastAsia"/>
          <w:lang w:val="en-US"/>
        </w:rPr>
        <w:t>4</w:t>
      </w:r>
      <w:r>
        <w:rPr>
          <w:rStyle w:val="25"/>
          <w:rFonts w:hint="eastAsia"/>
        </w:rPr>
        <w:t>.</w:t>
      </w:r>
      <w:bookmarkEnd w:id="60"/>
      <w:r>
        <w:rPr>
          <w:rStyle w:val="25"/>
          <w:rFonts w:hint="eastAsia"/>
          <w:lang w:val="en-US"/>
        </w:rPr>
        <w:t>4</w:t>
      </w:r>
      <w:r>
        <w:rPr>
          <w:rFonts w:hint="eastAsia"/>
        </w:rPr>
        <w:t xml:space="preserve"> </w:t>
      </w:r>
      <w:r>
        <w:rPr>
          <w:rFonts w:hint="eastAsia"/>
          <w:lang w:val="en-US" w:eastAsia="zh-CN"/>
        </w:rPr>
        <w:t xml:space="preserve"> </w:t>
      </w:r>
      <w:r>
        <w:rPr>
          <w:rFonts w:hint="eastAsia"/>
        </w:rPr>
        <w:t>投影宜采用高斯-克吕格投影，按3度分带。</w:t>
      </w:r>
    </w:p>
    <w:p w14:paraId="6460C9F7">
      <w:pPr>
        <w:pStyle w:val="3"/>
        <w:bidi w:val="0"/>
        <w:rPr>
          <w:rFonts w:hint="eastAsia" w:ascii="宋体" w:hAnsi="宋体" w:eastAsia="宋体" w:cs="宋体"/>
          <w:lang w:val="en-US" w:eastAsia="zh-CN"/>
        </w:rPr>
      </w:pPr>
      <w:bookmarkStart w:id="61" w:name="_Toc22519"/>
      <w:r>
        <w:rPr>
          <w:rStyle w:val="25"/>
          <w:rFonts w:hint="eastAsia"/>
          <w:lang w:val="en-US"/>
        </w:rPr>
        <w:t>4</w:t>
      </w:r>
      <w:r>
        <w:rPr>
          <w:rStyle w:val="25"/>
          <w:rFonts w:hint="eastAsia"/>
        </w:rPr>
        <w:t>.</w:t>
      </w:r>
      <w:bookmarkEnd w:id="61"/>
      <w:r>
        <w:rPr>
          <w:rStyle w:val="25"/>
          <w:rFonts w:hint="eastAsia"/>
          <w:lang w:val="en-US"/>
        </w:rPr>
        <w:t>5</w:t>
      </w:r>
      <w:r>
        <w:rPr>
          <w:rFonts w:hint="eastAsia"/>
          <w:b w:val="0"/>
          <w:bCs w:val="0"/>
          <w:lang w:val="en-US" w:eastAsia="zh-CN"/>
        </w:rPr>
        <w:t xml:space="preserve">  </w:t>
      </w:r>
      <w:r>
        <w:rPr>
          <w:rFonts w:hint="eastAsia"/>
        </w:rPr>
        <w:t>检测前的准备工作</w:t>
      </w:r>
      <w:r>
        <w:rPr>
          <w:rFonts w:hint="eastAsia"/>
          <w:lang w:val="en-US" w:eastAsia="zh-CN"/>
        </w:rPr>
        <w:t>宜包含以下内容：</w:t>
      </w:r>
    </w:p>
    <w:p w14:paraId="0939AA79">
      <w:pPr>
        <w:bidi w:val="0"/>
        <w:jc w:val="both"/>
        <w:rPr>
          <w:rFonts w:hint="eastAsia" w:ascii="宋体" w:hAnsi="宋体" w:eastAsia="宋体" w:cs="宋体"/>
        </w:rPr>
      </w:pPr>
      <w:r>
        <w:rPr>
          <w:rFonts w:hint="eastAsia" w:ascii="宋体" w:hAnsi="宋体" w:eastAsia="宋体" w:cs="宋体"/>
          <w:lang w:val="en-US" w:eastAsia="zh-CN"/>
        </w:rPr>
        <w:t>a</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收集项目合同、委托书等资料。</w:t>
      </w:r>
    </w:p>
    <w:p w14:paraId="1F8A5363">
      <w:pPr>
        <w:bidi w:val="0"/>
        <w:jc w:val="both"/>
        <w:rPr>
          <w:rFonts w:hint="eastAsia" w:ascii="宋体" w:hAnsi="宋体" w:eastAsia="宋体" w:cs="宋体"/>
        </w:rPr>
      </w:pPr>
      <w:r>
        <w:rPr>
          <w:rFonts w:hint="eastAsia" w:ascii="宋体" w:hAnsi="宋体" w:eastAsia="宋体" w:cs="宋体"/>
          <w:lang w:val="en-US" w:eastAsia="zh-CN"/>
        </w:rPr>
        <w:t>b</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收集</w:t>
      </w:r>
      <w:r>
        <w:rPr>
          <w:rFonts w:hint="eastAsia" w:ascii="宋体" w:hAnsi="宋体" w:eastAsia="宋体" w:cs="宋体"/>
          <w:spacing w:val="-4"/>
          <w:sz w:val="21"/>
          <w:szCs w:val="21"/>
          <w:lang w:val="en-US" w:eastAsia="zh-CN"/>
        </w:rPr>
        <w:t>路面</w:t>
      </w:r>
      <w:r>
        <w:rPr>
          <w:rFonts w:hint="eastAsia" w:ascii="宋体" w:hAnsi="宋体" w:eastAsia="宋体" w:cs="宋体"/>
          <w:spacing w:val="-4"/>
          <w:sz w:val="21"/>
          <w:szCs w:val="21"/>
        </w:rPr>
        <w:t>工程、</w:t>
      </w:r>
      <w:r>
        <w:rPr>
          <w:rFonts w:hint="eastAsia" w:ascii="宋体" w:hAnsi="宋体" w:eastAsia="宋体" w:cs="宋体"/>
          <w:spacing w:val="-4"/>
          <w:sz w:val="21"/>
          <w:szCs w:val="21"/>
          <w:lang w:val="en-US" w:eastAsia="zh-CN"/>
        </w:rPr>
        <w:t>路基</w:t>
      </w:r>
      <w:r>
        <w:rPr>
          <w:rFonts w:hint="eastAsia" w:ascii="宋体" w:hAnsi="宋体" w:eastAsia="宋体" w:cs="宋体"/>
          <w:spacing w:val="-4"/>
          <w:sz w:val="21"/>
          <w:szCs w:val="21"/>
        </w:rPr>
        <w:t>工程等设计和施工资料</w:t>
      </w:r>
      <w:r>
        <w:rPr>
          <w:rFonts w:hint="eastAsia" w:ascii="宋体" w:hAnsi="宋体" w:eastAsia="宋体" w:cs="宋体"/>
        </w:rPr>
        <w:t>、养护维修历史资料、桩号及结构物分布信息等。</w:t>
      </w:r>
    </w:p>
    <w:p w14:paraId="1DC51DE5">
      <w:pPr>
        <w:bidi w:val="0"/>
        <w:jc w:val="both"/>
        <w:rPr>
          <w:rFonts w:hint="eastAsia" w:ascii="宋体" w:hAnsi="宋体" w:eastAsia="宋体" w:cs="宋体"/>
        </w:rPr>
      </w:pPr>
      <w:r>
        <w:rPr>
          <w:rFonts w:hint="eastAsia" w:ascii="宋体" w:hAnsi="宋体" w:eastAsia="宋体" w:cs="宋体"/>
          <w:lang w:val="en-US" w:eastAsia="zh-CN"/>
        </w:rPr>
        <w:t>c</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收集</w:t>
      </w:r>
      <w:r>
        <w:rPr>
          <w:rFonts w:hint="eastAsia" w:ascii="宋体" w:hAnsi="宋体" w:eastAsia="宋体" w:cs="宋体"/>
          <w:spacing w:val="-3"/>
          <w:sz w:val="21"/>
          <w:szCs w:val="21"/>
        </w:rPr>
        <w:t>工程地质、水文地质、地形图和控制测量资料</w:t>
      </w:r>
      <w:r>
        <w:rPr>
          <w:rFonts w:hint="eastAsia" w:ascii="宋体" w:hAnsi="宋体" w:eastAsia="宋体" w:cs="宋体"/>
        </w:rPr>
        <w:t>，包括高等级控制点资料、 CORS站资料等；</w:t>
      </w:r>
    </w:p>
    <w:p w14:paraId="4D60CDEA">
      <w:pPr>
        <w:bidi w:val="0"/>
        <w:jc w:val="both"/>
        <w:rPr>
          <w:rFonts w:hint="eastAsia" w:ascii="宋体" w:hAnsi="宋体" w:eastAsia="宋体" w:cs="宋体"/>
        </w:rPr>
      </w:pPr>
      <w:r>
        <w:rPr>
          <w:rFonts w:hint="eastAsia" w:ascii="宋体" w:hAnsi="宋体" w:eastAsia="宋体" w:cs="宋体"/>
          <w:lang w:val="en-US" w:eastAsia="zh-CN"/>
        </w:rPr>
        <w:t>d</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开展现场踏勘，核实已有资料的真实性和可用性，初步确定基准站、起止点、控制点、架站点等的布设位置。</w:t>
      </w:r>
    </w:p>
    <w:p w14:paraId="50FB9F6D">
      <w:pPr>
        <w:bidi w:val="0"/>
        <w:jc w:val="both"/>
        <w:rPr>
          <w:rFonts w:hint="eastAsia" w:ascii="宋体" w:hAnsi="宋体" w:eastAsia="宋体" w:cs="宋体"/>
        </w:rPr>
      </w:pPr>
      <w:r>
        <w:rPr>
          <w:rFonts w:hint="eastAsia" w:ascii="宋体" w:hAnsi="宋体" w:eastAsia="宋体" w:cs="宋体"/>
          <w:lang w:val="en-US" w:eastAsia="zh-CN"/>
        </w:rPr>
        <w:t>e</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编制检测方案，明确检测人员及分工，检测内容及频率、检测方法、成果提交、质量控制措施、安全保障措施等内容。</w:t>
      </w:r>
    </w:p>
    <w:p w14:paraId="6C7C064F">
      <w:pPr>
        <w:bidi w:val="0"/>
        <w:jc w:val="both"/>
        <w:rPr>
          <w:rFonts w:hint="eastAsia" w:ascii="宋体" w:hAnsi="宋体" w:eastAsia="宋体" w:cs="宋体"/>
        </w:rPr>
      </w:pPr>
      <w:r>
        <w:rPr>
          <w:rFonts w:hint="eastAsia" w:ascii="宋体" w:hAnsi="宋体" w:eastAsia="宋体" w:cs="宋体"/>
          <w:lang w:val="en-US" w:eastAsia="zh-CN"/>
        </w:rPr>
        <w:t>f</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投入检测的设备应经计量校准机构校准或经比对证明满足相关规范要求。设备使用前应做设备可用性、附件齐全性、搭载平台检查。</w:t>
      </w:r>
    </w:p>
    <w:p w14:paraId="2D1BC8FA">
      <w:pPr>
        <w:bidi w:val="0"/>
        <w:jc w:val="both"/>
        <w:rPr>
          <w:rFonts w:hint="eastAsia" w:ascii="宋体" w:hAnsi="宋体" w:eastAsia="宋体" w:cs="宋体"/>
        </w:rPr>
      </w:pPr>
      <w:r>
        <w:rPr>
          <w:rFonts w:hint="eastAsia" w:ascii="宋体" w:hAnsi="宋体" w:eastAsia="宋体" w:cs="宋体"/>
          <w:lang w:val="en-US" w:eastAsia="zh-CN"/>
        </w:rPr>
        <w:t>g</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环境状况，主要有检测期间气象情况、交通流情况等。</w:t>
      </w:r>
    </w:p>
    <w:p w14:paraId="216F6C17">
      <w:pPr>
        <w:bidi w:val="0"/>
        <w:jc w:val="both"/>
        <w:rPr>
          <w:rFonts w:hint="eastAsia" w:ascii="宋体" w:hAnsi="宋体" w:eastAsia="宋体" w:cs="宋体"/>
        </w:rPr>
      </w:pPr>
      <w:r>
        <w:rPr>
          <w:rFonts w:hint="eastAsia" w:ascii="宋体" w:hAnsi="宋体" w:eastAsia="宋体" w:cs="宋体"/>
          <w:lang w:val="en-US" w:eastAsia="zh-CN"/>
        </w:rPr>
        <w:t>H</w:t>
      </w:r>
      <w:r>
        <w:rPr>
          <w:rFonts w:hint="eastAsia" w:cs="宋体"/>
          <w:lang w:val="en-US" w:eastAsia="zh-CN"/>
        </w:rPr>
        <w:t>）</w:t>
      </w:r>
      <w:r>
        <w:rPr>
          <w:rFonts w:hint="eastAsia" w:ascii="宋体" w:hAnsi="宋体" w:eastAsia="宋体" w:cs="宋体"/>
          <w:lang w:val="en-US" w:eastAsia="zh-CN"/>
        </w:rPr>
        <w:t xml:space="preserve"> </w:t>
      </w:r>
      <w:r>
        <w:rPr>
          <w:rFonts w:hint="eastAsia" w:ascii="宋体" w:hAnsi="宋体" w:eastAsia="宋体" w:cs="宋体"/>
        </w:rPr>
        <w:t>根据高速公路涉路施工管理要求，办理涉路作业备案及现场检测报备。</w:t>
      </w:r>
    </w:p>
    <w:p w14:paraId="6329FF87">
      <w:pPr>
        <w:bidi w:val="0"/>
        <w:jc w:val="both"/>
        <w:rPr>
          <w:rFonts w:hint="eastAsia" w:ascii="宋体" w:hAnsi="宋体" w:eastAsia="宋体" w:cs="宋体"/>
        </w:rPr>
      </w:pPr>
      <w:r>
        <w:rPr>
          <w:rFonts w:hint="eastAsia" w:ascii="宋体" w:hAnsi="宋体" w:eastAsia="宋体" w:cs="宋体"/>
          <w:lang w:val="en-US" w:eastAsia="zh-CN"/>
        </w:rPr>
        <w:t>i</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制定应急预案，包括设备故障、天气突变等突发情况处理流程。</w:t>
      </w:r>
    </w:p>
    <w:p w14:paraId="0E73BF70">
      <w:pPr>
        <w:bidi w:val="0"/>
        <w:jc w:val="both"/>
        <w:rPr>
          <w:rFonts w:hint="eastAsia" w:ascii="宋体" w:hAnsi="宋体" w:eastAsia="宋体" w:cs="宋体"/>
        </w:rPr>
      </w:pPr>
      <w:r>
        <w:rPr>
          <w:rFonts w:hint="eastAsia" w:ascii="宋体" w:hAnsi="宋体" w:eastAsia="宋体" w:cs="宋体"/>
          <w:lang w:val="en-US" w:eastAsia="zh-CN"/>
        </w:rPr>
        <w:t>j</w:t>
      </w:r>
      <w:r>
        <w:rPr>
          <w:rFonts w:hint="eastAsia" w:cs="宋体"/>
          <w:lang w:val="en-US" w:eastAsia="zh-CN"/>
        </w:rPr>
        <w:t>）</w:t>
      </w:r>
      <w:r>
        <w:rPr>
          <w:rFonts w:hint="eastAsia" w:ascii="宋体" w:hAnsi="宋体" w:eastAsia="宋体" w:cs="宋体"/>
          <w:lang w:val="en-US" w:eastAsia="zh-CN"/>
        </w:rPr>
        <w:t xml:space="preserve"> </w:t>
      </w:r>
      <w:r>
        <w:rPr>
          <w:rFonts w:hint="eastAsia" w:ascii="宋体" w:hAnsi="宋体" w:eastAsia="宋体" w:cs="宋体"/>
        </w:rPr>
        <w:t>人员培训及安全技术交底。</w:t>
      </w:r>
    </w:p>
    <w:p w14:paraId="67E715C9">
      <w:pPr>
        <w:pStyle w:val="3"/>
        <w:bidi w:val="0"/>
        <w:rPr>
          <w:rStyle w:val="25"/>
          <w:rFonts w:hint="eastAsia"/>
        </w:rPr>
      </w:pPr>
      <w:r>
        <w:rPr>
          <w:rStyle w:val="25"/>
          <w:rFonts w:hint="eastAsia"/>
          <w:lang w:val="en-US" w:eastAsia="zh-CN"/>
        </w:rPr>
        <w:t xml:space="preserve">4.6 </w:t>
      </w:r>
      <w:r>
        <w:rPr>
          <w:rStyle w:val="25"/>
          <w:rFonts w:hint="eastAsia"/>
        </w:rPr>
        <w:t xml:space="preserve"> 检测方案应包括下列内容：</w:t>
      </w:r>
    </w:p>
    <w:p w14:paraId="675E2C6E">
      <w:pPr>
        <w:keepNext w:val="0"/>
        <w:keepLines w:val="0"/>
        <w:pageBreakBefore w:val="0"/>
        <w:widowControl w:val="0"/>
        <w:kinsoku/>
        <w:wordWrap/>
        <w:overflowPunct/>
        <w:topLinePunct w:val="0"/>
        <w:autoSpaceDE/>
        <w:autoSpaceDN/>
        <w:bidi w:val="0"/>
        <w:adjustRightInd/>
        <w:snapToGrid/>
        <w:spacing w:line="240" w:lineRule="auto"/>
        <w:ind w:left="0" w:leftChars="0" w:firstLine="408" w:firstLineChars="200"/>
        <w:textAlignment w:val="auto"/>
        <w:rPr>
          <w:rFonts w:ascii="宋体" w:hAnsi="宋体" w:eastAsia="宋体" w:cs="宋体"/>
          <w:sz w:val="21"/>
          <w:szCs w:val="21"/>
        </w:rPr>
      </w:pPr>
      <w:r>
        <w:rPr>
          <w:rFonts w:hint="eastAsia" w:cs="宋体"/>
          <w:spacing w:val="-3"/>
          <w:sz w:val="21"/>
          <w:szCs w:val="21"/>
          <w:lang w:val="en-US" w:eastAsia="zh-CN"/>
        </w:rPr>
        <w:t>a）</w:t>
      </w:r>
      <w:r>
        <w:rPr>
          <w:rFonts w:hint="eastAsia" w:ascii="宋体" w:hAnsi="宋体" w:eastAsia="宋体" w:cs="宋体"/>
          <w:spacing w:val="-3"/>
          <w:sz w:val="21"/>
          <w:szCs w:val="21"/>
          <w:lang w:val="en-US" w:eastAsia="zh-CN"/>
        </w:rPr>
        <w:t xml:space="preserve"> </w:t>
      </w:r>
      <w:r>
        <w:rPr>
          <w:rFonts w:hint="eastAsia" w:cs="宋体"/>
          <w:spacing w:val="-3"/>
          <w:sz w:val="21"/>
          <w:szCs w:val="21"/>
          <w:lang w:val="en-US" w:eastAsia="zh-CN"/>
        </w:rPr>
        <w:t>检</w:t>
      </w:r>
      <w:r>
        <w:rPr>
          <w:rFonts w:ascii="宋体" w:hAnsi="宋体" w:eastAsia="宋体" w:cs="宋体"/>
          <w:spacing w:val="-3"/>
          <w:sz w:val="21"/>
          <w:szCs w:val="21"/>
        </w:rPr>
        <w:t>测目的、范围、</w:t>
      </w:r>
      <w:r>
        <w:rPr>
          <w:rFonts w:hint="eastAsia" w:ascii="宋体" w:hAnsi="宋体" w:eastAsia="宋体" w:cs="宋体"/>
          <w:spacing w:val="-3"/>
          <w:sz w:val="21"/>
          <w:szCs w:val="21"/>
          <w:lang w:val="en-US" w:eastAsia="zh-CN"/>
        </w:rPr>
        <w:t>公路</w:t>
      </w:r>
      <w:r>
        <w:rPr>
          <w:rFonts w:ascii="宋体" w:hAnsi="宋体" w:eastAsia="宋体" w:cs="宋体"/>
          <w:spacing w:val="-3"/>
          <w:sz w:val="21"/>
          <w:szCs w:val="21"/>
        </w:rPr>
        <w:t>等级、路面结构层信息和工期；</w:t>
      </w:r>
    </w:p>
    <w:p w14:paraId="09339D4D">
      <w:pPr>
        <w:keepNext w:val="0"/>
        <w:keepLines w:val="0"/>
        <w:pageBreakBefore w:val="0"/>
        <w:widowControl w:val="0"/>
        <w:kinsoku/>
        <w:wordWrap/>
        <w:overflowPunct/>
        <w:topLinePunct w:val="0"/>
        <w:autoSpaceDE/>
        <w:autoSpaceDN/>
        <w:bidi w:val="0"/>
        <w:adjustRightInd/>
        <w:snapToGrid/>
        <w:spacing w:line="240" w:lineRule="auto"/>
        <w:ind w:left="0" w:leftChars="0" w:firstLine="408" w:firstLineChars="200"/>
        <w:textAlignment w:val="auto"/>
        <w:rPr>
          <w:rFonts w:ascii="宋体" w:hAnsi="宋体" w:eastAsia="宋体" w:cs="宋体"/>
          <w:sz w:val="21"/>
          <w:szCs w:val="21"/>
        </w:rPr>
      </w:pPr>
      <w:r>
        <w:rPr>
          <w:rFonts w:hint="eastAsia" w:cs="宋体"/>
          <w:spacing w:val="-3"/>
          <w:sz w:val="21"/>
          <w:szCs w:val="21"/>
          <w:lang w:val="en-US" w:eastAsia="zh-CN"/>
        </w:rPr>
        <w:t xml:space="preserve">b） </w:t>
      </w:r>
      <w:r>
        <w:rPr>
          <w:rFonts w:ascii="宋体" w:hAnsi="宋体" w:eastAsia="宋体" w:cs="宋体"/>
          <w:spacing w:val="-2"/>
          <w:sz w:val="21"/>
          <w:szCs w:val="21"/>
        </w:rPr>
        <w:t>工程地质、水文地质和作业环境分析；</w:t>
      </w:r>
    </w:p>
    <w:p w14:paraId="1690FF1E">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sz w:val="21"/>
          <w:szCs w:val="21"/>
        </w:rPr>
      </w:pPr>
      <w:r>
        <w:rPr>
          <w:rFonts w:hint="eastAsia" w:cs="宋体"/>
          <w:spacing w:val="-3"/>
          <w:sz w:val="21"/>
          <w:szCs w:val="21"/>
          <w:lang w:val="en-US" w:eastAsia="zh-CN"/>
        </w:rPr>
        <w:t>c）</w:t>
      </w:r>
      <w:r>
        <w:rPr>
          <w:rFonts w:hint="eastAsia" w:ascii="宋体" w:hAnsi="宋体" w:eastAsia="宋体" w:cs="宋体"/>
          <w:spacing w:val="-3"/>
          <w:sz w:val="21"/>
          <w:szCs w:val="21"/>
          <w:lang w:val="en-US" w:eastAsia="zh-CN"/>
        </w:rPr>
        <w:t xml:space="preserve"> </w:t>
      </w:r>
      <w:r>
        <w:rPr>
          <w:rFonts w:ascii="宋体" w:hAnsi="宋体" w:eastAsia="宋体" w:cs="宋体"/>
          <w:spacing w:val="-5"/>
          <w:sz w:val="21"/>
          <w:szCs w:val="21"/>
        </w:rPr>
        <w:t>检测重难点分析和应对措施；</w:t>
      </w:r>
    </w:p>
    <w:p w14:paraId="165CCDA6">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sz w:val="21"/>
          <w:szCs w:val="21"/>
        </w:rPr>
      </w:pPr>
      <w:r>
        <w:rPr>
          <w:rFonts w:hint="eastAsia" w:ascii="宋体" w:hAnsi="宋体" w:eastAsia="宋体" w:cs="宋体"/>
          <w:spacing w:val="-4"/>
          <w:sz w:val="21"/>
          <w:szCs w:val="21"/>
          <w:lang w:val="en-US" w:eastAsia="zh-CN"/>
        </w:rPr>
        <w:t>d</w:t>
      </w:r>
      <w:r>
        <w:rPr>
          <w:rFonts w:hint="eastAsia" w:cs="宋体"/>
          <w:spacing w:val="-4"/>
          <w:sz w:val="21"/>
          <w:szCs w:val="21"/>
          <w:lang w:val="en-US" w:eastAsia="zh-CN"/>
        </w:rPr>
        <w:t xml:space="preserve">） </w:t>
      </w:r>
      <w:r>
        <w:rPr>
          <w:rFonts w:ascii="宋体" w:hAnsi="宋体" w:eastAsia="宋体" w:cs="宋体"/>
          <w:spacing w:val="-4"/>
          <w:sz w:val="21"/>
          <w:szCs w:val="21"/>
        </w:rPr>
        <w:t>检测依据的规范、标准和技术资料；</w:t>
      </w:r>
    </w:p>
    <w:p w14:paraId="6249B3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e）</w:t>
      </w:r>
      <w:r>
        <w:rPr>
          <w:rFonts w:hint="eastAsia" w:ascii="宋体" w:hAnsi="宋体" w:eastAsia="宋体" w:cs="宋体"/>
          <w:spacing w:val="-4"/>
          <w:sz w:val="21"/>
          <w:szCs w:val="21"/>
          <w:lang w:val="en-US" w:eastAsia="zh-CN"/>
        </w:rPr>
        <w:t xml:space="preserve"> 测线布设方案及工作量；</w:t>
      </w:r>
    </w:p>
    <w:p w14:paraId="5EF86F8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f）</w:t>
      </w:r>
      <w:r>
        <w:rPr>
          <w:rFonts w:hint="eastAsia" w:ascii="宋体" w:hAnsi="宋体" w:eastAsia="宋体" w:cs="宋体"/>
          <w:spacing w:val="-4"/>
          <w:sz w:val="21"/>
          <w:szCs w:val="21"/>
          <w:lang w:val="en-US" w:eastAsia="zh-CN"/>
        </w:rPr>
        <w:t xml:space="preserve"> 进度计划和实施过程的控制；</w:t>
      </w:r>
    </w:p>
    <w:p w14:paraId="580900C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g）</w:t>
      </w:r>
      <w:r>
        <w:rPr>
          <w:rFonts w:hint="eastAsia" w:ascii="宋体" w:hAnsi="宋体" w:eastAsia="宋体" w:cs="宋体"/>
          <w:spacing w:val="-4"/>
          <w:sz w:val="21"/>
          <w:szCs w:val="21"/>
          <w:lang w:val="en-US" w:eastAsia="zh-CN"/>
        </w:rPr>
        <w:t xml:space="preserve"> 仪器设备和人员组织；</w:t>
      </w:r>
    </w:p>
    <w:p w14:paraId="00D4A8D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h）</w:t>
      </w:r>
      <w:r>
        <w:rPr>
          <w:rFonts w:hint="eastAsia" w:ascii="宋体" w:hAnsi="宋体" w:eastAsia="宋体" w:cs="宋体"/>
          <w:spacing w:val="-4"/>
          <w:sz w:val="21"/>
          <w:szCs w:val="21"/>
          <w:lang w:val="en-US" w:eastAsia="zh-CN"/>
        </w:rPr>
        <w:t xml:space="preserve"> 交通组织及道路安全作业保障措施；</w:t>
      </w:r>
    </w:p>
    <w:p w14:paraId="517BF6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i）</w:t>
      </w:r>
      <w:r>
        <w:rPr>
          <w:rFonts w:hint="eastAsia" w:ascii="宋体" w:hAnsi="宋体" w:eastAsia="宋体" w:cs="宋体"/>
          <w:spacing w:val="-4"/>
          <w:sz w:val="21"/>
          <w:szCs w:val="21"/>
          <w:lang w:val="en-US" w:eastAsia="zh-CN"/>
        </w:rPr>
        <w:t xml:space="preserve"> 拟提交的成果资料。</w:t>
      </w:r>
    </w:p>
    <w:p w14:paraId="353DBC10">
      <w:pPr>
        <w:pStyle w:val="3"/>
        <w:bidi w:val="0"/>
        <w:rPr>
          <w:rStyle w:val="25"/>
          <w:rFonts w:hint="eastAsia"/>
          <w:lang w:val="en-US" w:eastAsia="zh-CN"/>
        </w:rPr>
      </w:pPr>
      <w:bookmarkStart w:id="62" w:name="_Toc22006"/>
      <w:r>
        <w:rPr>
          <w:rStyle w:val="25"/>
          <w:rFonts w:hint="eastAsia"/>
          <w:lang w:val="en-US" w:eastAsia="zh-CN"/>
        </w:rPr>
        <w:t>4.</w:t>
      </w:r>
      <w:bookmarkEnd w:id="62"/>
      <w:r>
        <w:rPr>
          <w:rStyle w:val="25"/>
          <w:rFonts w:hint="eastAsia"/>
          <w:lang w:val="en-US" w:eastAsia="zh-CN"/>
        </w:rPr>
        <w:t>7  检测环境要求</w:t>
      </w:r>
    </w:p>
    <w:p w14:paraId="44C23207">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a</w:t>
      </w:r>
      <w:r>
        <w:rPr>
          <w:rFonts w:hint="eastAsia" w:cs="宋体"/>
          <w:spacing w:val="-4"/>
          <w:sz w:val="21"/>
          <w:szCs w:val="21"/>
          <w:lang w:val="en-US" w:eastAsia="zh-CN"/>
        </w:rPr>
        <w:t xml:space="preserve">） </w:t>
      </w:r>
      <w:r>
        <w:rPr>
          <w:rFonts w:hint="eastAsia" w:asciiTheme="minorEastAsia" w:hAnsiTheme="minorEastAsia" w:eastAsiaTheme="minorEastAsia" w:cstheme="minorEastAsia"/>
        </w:rPr>
        <w:t>无降雨、降雪及强风干扰。</w:t>
      </w:r>
    </w:p>
    <w:p w14:paraId="3D26095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b</w:t>
      </w:r>
      <w:r>
        <w:rPr>
          <w:rFonts w:hint="eastAsia" w:cs="宋体"/>
          <w:spacing w:val="-4"/>
          <w:sz w:val="21"/>
          <w:szCs w:val="21"/>
          <w:lang w:val="en-US" w:eastAsia="zh-CN"/>
        </w:rPr>
        <w:t xml:space="preserve">） </w:t>
      </w:r>
      <w:r>
        <w:rPr>
          <w:rFonts w:hint="eastAsia" w:asciiTheme="minorEastAsia" w:hAnsiTheme="minorEastAsia" w:eastAsiaTheme="minorEastAsia" w:cstheme="minorEastAsia"/>
        </w:rPr>
        <w:t>路面宜清洁，无明显积水，无影响设备使用安全的严重坑槽。</w:t>
      </w:r>
    </w:p>
    <w:p w14:paraId="039468F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c</w:t>
      </w:r>
      <w:r>
        <w:rPr>
          <w:rFonts w:hint="eastAsia" w:cs="宋体"/>
          <w:spacing w:val="-4"/>
          <w:sz w:val="21"/>
          <w:szCs w:val="21"/>
          <w:lang w:val="en-US" w:eastAsia="zh-CN"/>
        </w:rPr>
        <w:t xml:space="preserve">） </w:t>
      </w:r>
      <w:r>
        <w:rPr>
          <w:rFonts w:hint="eastAsia" w:asciiTheme="minorEastAsia" w:hAnsiTheme="minorEastAsia" w:eastAsiaTheme="minorEastAsia" w:cstheme="minorEastAsia"/>
        </w:rPr>
        <w:t>周围应无影响设备正常工作的强电磁干扰信号。</w:t>
      </w:r>
    </w:p>
    <w:p w14:paraId="6146BA2F">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d</w:t>
      </w:r>
      <w:r>
        <w:rPr>
          <w:rFonts w:hint="eastAsia" w:cs="宋体"/>
          <w:spacing w:val="-4"/>
          <w:sz w:val="21"/>
          <w:szCs w:val="21"/>
          <w:lang w:val="en-US" w:eastAsia="zh-CN"/>
        </w:rPr>
        <w:t xml:space="preserve">） </w:t>
      </w:r>
      <w:r>
        <w:rPr>
          <w:rFonts w:hint="eastAsia" w:asciiTheme="minorEastAsia" w:hAnsiTheme="minorEastAsia" w:eastAsiaTheme="minorEastAsia" w:cstheme="minorEastAsia"/>
        </w:rPr>
        <w:t>宜选择天气晴朗，人流和车流少的时段采集。</w:t>
      </w:r>
    </w:p>
    <w:p w14:paraId="19BFFF27">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e</w:t>
      </w:r>
      <w:r>
        <w:rPr>
          <w:rFonts w:hint="eastAsia" w:cs="宋体"/>
          <w:spacing w:val="-4"/>
          <w:sz w:val="21"/>
          <w:szCs w:val="21"/>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极端天气（如暴雨、大雾）后需延迟检测，待路面干燥且能见度恢复后进行。</w:t>
      </w:r>
    </w:p>
    <w:p w14:paraId="5D89C64F">
      <w:pPr>
        <w:bidi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w:t>
      </w:r>
      <w:r>
        <w:rPr>
          <w:rFonts w:hint="eastAsia" w:cs="宋体"/>
          <w:spacing w:val="-4"/>
          <w:sz w:val="21"/>
          <w:szCs w:val="21"/>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夜间作业需</w:t>
      </w:r>
      <w:r>
        <w:rPr>
          <w:rFonts w:hint="eastAsia" w:asciiTheme="minorEastAsia" w:hAnsiTheme="minorEastAsia" w:eastAsiaTheme="minorEastAsia" w:cstheme="minorEastAsia"/>
          <w:lang w:val="en-US" w:eastAsia="zh-CN"/>
        </w:rPr>
        <w:t>编制专项作业方案</w:t>
      </w:r>
      <w:r>
        <w:rPr>
          <w:rFonts w:hint="eastAsia" w:asciiTheme="minorEastAsia" w:hAnsiTheme="minorEastAsia" w:eastAsiaTheme="minorEastAsia" w:cstheme="minorEastAsia"/>
        </w:rPr>
        <w:t>。</w:t>
      </w:r>
    </w:p>
    <w:p w14:paraId="563AFD72">
      <w:pPr>
        <w:pStyle w:val="3"/>
        <w:bidi w:val="0"/>
        <w:rPr>
          <w:rFonts w:hint="eastAsia"/>
        </w:rPr>
      </w:pPr>
      <w:bookmarkStart w:id="63" w:name="_Toc6754"/>
      <w:r>
        <w:rPr>
          <w:rStyle w:val="25"/>
          <w:rFonts w:hint="eastAsia"/>
          <w:lang w:val="en-US"/>
        </w:rPr>
        <w:t>4</w:t>
      </w:r>
      <w:r>
        <w:rPr>
          <w:rStyle w:val="25"/>
          <w:rFonts w:hint="eastAsia"/>
        </w:rPr>
        <w:t>.</w:t>
      </w:r>
      <w:bookmarkEnd w:id="63"/>
      <w:r>
        <w:rPr>
          <w:rStyle w:val="25"/>
          <w:rFonts w:hint="eastAsia"/>
          <w:lang w:val="en-US"/>
        </w:rPr>
        <w:t>8</w:t>
      </w:r>
      <w:r>
        <w:rPr>
          <w:rFonts w:hint="eastAsia"/>
          <w:lang w:val="en-US" w:eastAsia="zh-CN"/>
        </w:rPr>
        <w:t xml:space="preserve">  </w:t>
      </w:r>
      <w:r>
        <w:rPr>
          <w:rFonts w:hint="eastAsia"/>
        </w:rPr>
        <w:t xml:space="preserve">检测过程中应全程跟踪并实时记录检测路线名称、路线编码、路线桩号、路面类型、车道号、起止时间、天气状况、路面干湿状况、车辆非正常运行状态（缓行、临时停车、超车）、长短链、桥梁隧道边坡起止点等信息。 </w:t>
      </w:r>
    </w:p>
    <w:p w14:paraId="3A561C18">
      <w:pPr>
        <w:pStyle w:val="3"/>
        <w:bidi w:val="0"/>
        <w:rPr>
          <w:rFonts w:hint="eastAsia"/>
        </w:rPr>
      </w:pPr>
      <w:bookmarkStart w:id="64" w:name="_Toc24791"/>
      <w:r>
        <w:rPr>
          <w:rStyle w:val="25"/>
          <w:rFonts w:hint="eastAsia"/>
          <w:lang w:val="en-US"/>
        </w:rPr>
        <w:t>4</w:t>
      </w:r>
      <w:r>
        <w:rPr>
          <w:rStyle w:val="25"/>
          <w:rFonts w:hint="eastAsia"/>
        </w:rPr>
        <w:t>.</w:t>
      </w:r>
      <w:bookmarkEnd w:id="64"/>
      <w:r>
        <w:rPr>
          <w:rStyle w:val="25"/>
          <w:rFonts w:hint="eastAsia"/>
          <w:lang w:val="en-US"/>
        </w:rPr>
        <w:t>9</w:t>
      </w:r>
      <w:r>
        <w:rPr>
          <w:rFonts w:hint="eastAsia"/>
          <w:lang w:val="en-US" w:eastAsia="zh-CN"/>
        </w:rPr>
        <w:t xml:space="preserve">  </w:t>
      </w:r>
      <w:r>
        <w:rPr>
          <w:rFonts w:hint="eastAsia"/>
        </w:rPr>
        <w:t>为保证检测结果与现场病害位置准确对应，应通过卫星定位、里程计、惯性导航、人工标记、视频等多重定位方式的一种或多种进行病害位置标注。</w:t>
      </w:r>
    </w:p>
    <w:p w14:paraId="7C162AFC">
      <w:pPr>
        <w:pStyle w:val="3"/>
        <w:bidi w:val="0"/>
        <w:rPr>
          <w:rFonts w:hint="eastAsia"/>
        </w:rPr>
      </w:pPr>
      <w:bookmarkStart w:id="65" w:name="_Toc9591"/>
      <w:r>
        <w:rPr>
          <w:rFonts w:hint="eastAsia"/>
          <w:lang w:val="en-US" w:eastAsia="zh-CN"/>
        </w:rPr>
        <w:t>4</w:t>
      </w:r>
      <w:r>
        <w:rPr>
          <w:rFonts w:hint="eastAsia"/>
        </w:rPr>
        <w:t>.</w:t>
      </w:r>
      <w:bookmarkEnd w:id="65"/>
      <w:r>
        <w:rPr>
          <w:rFonts w:hint="eastAsia"/>
          <w:lang w:val="en-US" w:eastAsia="zh-CN"/>
        </w:rPr>
        <w:t xml:space="preserve">10  </w:t>
      </w:r>
      <w:r>
        <w:rPr>
          <w:rFonts w:hint="eastAsia"/>
        </w:rPr>
        <w:t>检测数据管理要求</w:t>
      </w:r>
    </w:p>
    <w:p w14:paraId="0B7F1CCB">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a</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现场检测完成应及时复核数据完整性。</w:t>
      </w:r>
    </w:p>
    <w:p w14:paraId="23EA816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b</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提交检测成果前应开展异常数据的现场复核工作。</w:t>
      </w:r>
    </w:p>
    <w:p w14:paraId="07AD050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c</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宜建立数据管理系统，规范管理检测原始数据及成果</w:t>
      </w:r>
    </w:p>
    <w:p w14:paraId="2F7457ED">
      <w:pPr>
        <w:bidi w:val="0"/>
        <w:rPr>
          <w:rFonts w:hint="eastAsia" w:eastAsia="宋体"/>
          <w:lang w:eastAsia="zh-CN"/>
        </w:rPr>
      </w:pPr>
      <w:r>
        <w:rPr>
          <w:rFonts w:hint="eastAsia" w:asciiTheme="minorEastAsia" w:hAnsiTheme="minorEastAsia" w:eastAsiaTheme="minorEastAsia" w:cstheme="minorEastAsia"/>
          <w:lang w:val="en-US" w:eastAsia="zh-CN"/>
        </w:rPr>
        <w:t>d</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检测数据的加密存储、传输及脱敏处理，确保符合国家保密规定</w:t>
      </w:r>
      <w:r>
        <w:rPr>
          <w:rFonts w:hint="eastAsia" w:asciiTheme="minorEastAsia" w:hAnsiTheme="minorEastAsia" w:eastAsiaTheme="minorEastAsia" w:cstheme="minorEastAsia"/>
          <w:lang w:eastAsia="zh-CN"/>
        </w:rPr>
        <w:t>。</w:t>
      </w:r>
    </w:p>
    <w:p w14:paraId="01EEF58E">
      <w:pPr>
        <w:pStyle w:val="3"/>
        <w:bidi w:val="0"/>
        <w:rPr>
          <w:rFonts w:hint="eastAsia"/>
        </w:rPr>
      </w:pPr>
      <w:bookmarkStart w:id="66" w:name="_Toc22026"/>
      <w:r>
        <w:rPr>
          <w:rFonts w:hint="eastAsia"/>
          <w:lang w:val="en-US" w:eastAsia="zh-CN"/>
        </w:rPr>
        <w:t>4</w:t>
      </w:r>
      <w:r>
        <w:rPr>
          <w:rFonts w:hint="eastAsia"/>
        </w:rPr>
        <w:t>.1</w:t>
      </w:r>
      <w:bookmarkEnd w:id="66"/>
      <w:r>
        <w:rPr>
          <w:rFonts w:hint="eastAsia"/>
          <w:lang w:val="en-US" w:eastAsia="zh-CN"/>
        </w:rPr>
        <w:t>1</w:t>
      </w:r>
      <w:r>
        <w:rPr>
          <w:rFonts w:hint="eastAsia"/>
        </w:rPr>
        <w:t xml:space="preserve"> </w:t>
      </w:r>
      <w:r>
        <w:rPr>
          <w:rFonts w:hint="eastAsia"/>
          <w:lang w:val="en-US" w:eastAsia="zh-CN"/>
        </w:rPr>
        <w:t xml:space="preserve"> </w:t>
      </w:r>
      <w:r>
        <w:rPr>
          <w:rFonts w:hint="eastAsia"/>
        </w:rPr>
        <w:t>数据格式</w:t>
      </w:r>
    </w:p>
    <w:p w14:paraId="15CE056D">
      <w:pPr>
        <w:bidi w:val="0"/>
        <w:jc w:val="center"/>
        <w:rPr>
          <w:rFonts w:hint="eastAsia" w:ascii="黑体" w:hAnsi="黑体" w:eastAsia="黑体" w:cs="黑体"/>
        </w:rPr>
      </w:pPr>
    </w:p>
    <w:p w14:paraId="0212CA4D">
      <w:pPr>
        <w:bidi w:val="0"/>
        <w:jc w:val="center"/>
        <w:rPr>
          <w:rFonts w:hint="eastAsia" w:ascii="黑体" w:hAnsi="黑体" w:eastAsia="黑体" w:cs="黑体"/>
        </w:rPr>
      </w:pPr>
    </w:p>
    <w:p w14:paraId="4AB8D284">
      <w:pPr>
        <w:bidi w:val="0"/>
        <w:jc w:val="center"/>
        <w:rPr>
          <w:rFonts w:hint="eastAsia" w:ascii="黑体" w:hAnsi="黑体" w:eastAsia="黑体" w:cs="黑体"/>
        </w:rPr>
      </w:pPr>
      <w:r>
        <w:rPr>
          <w:rFonts w:hint="eastAsia" w:ascii="黑体" w:hAnsi="黑体" w:eastAsia="黑体" w:cs="黑体"/>
        </w:rPr>
        <w:t>表</w:t>
      </w:r>
      <w:r>
        <w:rPr>
          <w:rFonts w:hint="eastAsia" w:ascii="黑体" w:hAnsi="黑体" w:eastAsia="黑体" w:cs="黑体"/>
          <w:lang w:val="en-US" w:eastAsia="zh-CN"/>
        </w:rPr>
        <w:t>4.11</w:t>
      </w:r>
      <w:r>
        <w:rPr>
          <w:rFonts w:hint="eastAsia" w:ascii="黑体" w:hAnsi="黑体" w:eastAsia="黑体" w:cs="黑体"/>
        </w:rPr>
        <w:t xml:space="preserve"> </w:t>
      </w:r>
      <w:r>
        <w:rPr>
          <w:rFonts w:hint="eastAsia" w:ascii="黑体" w:hAnsi="黑体" w:eastAsia="黑体" w:cs="黑体"/>
          <w:lang w:val="en-US" w:eastAsia="zh-CN"/>
        </w:rPr>
        <w:t xml:space="preserve"> </w:t>
      </w:r>
      <w:r>
        <w:rPr>
          <w:rFonts w:hint="eastAsia" w:ascii="黑体" w:hAnsi="黑体" w:eastAsia="黑体" w:cs="黑体"/>
        </w:rPr>
        <w:t>数据格式要求</w:t>
      </w: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B699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4261" w:type="dxa"/>
            <w:tcBorders>
              <w:tl2br w:val="nil"/>
              <w:tr2bl w:val="nil"/>
            </w:tcBorders>
            <w:vAlign w:val="center"/>
          </w:tcPr>
          <w:p w14:paraId="38EDF9D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数据类型</w:t>
            </w:r>
          </w:p>
        </w:tc>
        <w:tc>
          <w:tcPr>
            <w:tcW w:w="4261" w:type="dxa"/>
            <w:tcBorders>
              <w:tl2br w:val="nil"/>
              <w:tr2bl w:val="nil"/>
            </w:tcBorders>
            <w:vAlign w:val="center"/>
          </w:tcPr>
          <w:p w14:paraId="3602A8B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数据格式</w:t>
            </w:r>
          </w:p>
        </w:tc>
      </w:tr>
      <w:tr w14:paraId="6DDF0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6306AAA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点云数据</w:t>
            </w:r>
          </w:p>
        </w:tc>
        <w:tc>
          <w:tcPr>
            <w:tcW w:w="4261" w:type="dxa"/>
            <w:tcBorders>
              <w:tl2br w:val="nil"/>
              <w:tr2bl w:val="nil"/>
            </w:tcBorders>
            <w:vAlign w:val="center"/>
          </w:tcPr>
          <w:p w14:paraId="34888B11">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Las、laz、xyz、hlz</w:t>
            </w:r>
          </w:p>
        </w:tc>
      </w:tr>
      <w:tr w14:paraId="5DAA2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302A1E3D">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雷达数据</w:t>
            </w:r>
          </w:p>
        </w:tc>
        <w:tc>
          <w:tcPr>
            <w:tcW w:w="4261" w:type="dxa"/>
            <w:tcBorders>
              <w:tl2br w:val="nil"/>
              <w:tr2bl w:val="nil"/>
            </w:tcBorders>
            <w:vAlign w:val="center"/>
          </w:tcPr>
          <w:p w14:paraId="7078DAED">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iprb、ipr</w:t>
            </w:r>
          </w:p>
        </w:tc>
      </w:tr>
      <w:tr w14:paraId="5E95B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3737B54A">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lang w:val="en-US" w:eastAsia="zh-CN"/>
              </w:rPr>
              <w:t>病害平面分布图</w:t>
            </w:r>
          </w:p>
        </w:tc>
        <w:tc>
          <w:tcPr>
            <w:tcW w:w="4261" w:type="dxa"/>
            <w:tcBorders>
              <w:tl2br w:val="nil"/>
              <w:tr2bl w:val="nil"/>
            </w:tcBorders>
            <w:vAlign w:val="center"/>
          </w:tcPr>
          <w:p w14:paraId="69043C6C">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lang w:val="en-US" w:eastAsia="zh-CN"/>
              </w:rPr>
              <w:t>dxf、dwg</w:t>
            </w:r>
          </w:p>
        </w:tc>
      </w:tr>
    </w:tbl>
    <w:p w14:paraId="13965579">
      <w:pPr>
        <w:rPr>
          <w:rStyle w:val="25"/>
          <w:rFonts w:hint="eastAsia"/>
        </w:rPr>
      </w:pPr>
      <w:r>
        <w:rPr>
          <w:rStyle w:val="25"/>
          <w:rFonts w:hint="eastAsia"/>
        </w:rPr>
        <w:br w:type="page"/>
      </w:r>
    </w:p>
    <w:p w14:paraId="54441384">
      <w:pPr>
        <w:pStyle w:val="3"/>
        <w:bidi w:val="0"/>
        <w:rPr>
          <w:rFonts w:hint="eastAsia"/>
        </w:rPr>
      </w:pPr>
      <w:r>
        <w:rPr>
          <w:rStyle w:val="25"/>
          <w:rFonts w:hint="eastAsia"/>
          <w:lang w:val="en-US"/>
        </w:rPr>
        <w:t>4</w:t>
      </w:r>
      <w:r>
        <w:rPr>
          <w:rStyle w:val="25"/>
          <w:rFonts w:hint="eastAsia"/>
        </w:rPr>
        <w:t>.</w:t>
      </w:r>
      <w:r>
        <w:rPr>
          <w:rStyle w:val="25"/>
          <w:rFonts w:hint="eastAsia"/>
          <w:lang w:val="en-US" w:eastAsia="zh-CN"/>
        </w:rPr>
        <w:t>12</w:t>
      </w:r>
      <w:r>
        <w:rPr>
          <w:rFonts w:hint="eastAsia"/>
          <w:lang w:val="en-US" w:eastAsia="zh-CN"/>
        </w:rPr>
        <w:t xml:space="preserve">  </w:t>
      </w:r>
      <w:r>
        <w:rPr>
          <w:rFonts w:hint="eastAsia"/>
        </w:rPr>
        <w:t>检测流程</w:t>
      </w:r>
    </w:p>
    <w:p w14:paraId="70EC52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r>
        <w:rPr>
          <w:rFonts w:hint="eastAsia"/>
        </w:rPr>
        <w:drawing>
          <wp:inline distT="0" distB="0" distL="114300" distR="114300">
            <wp:extent cx="5406390" cy="7900670"/>
            <wp:effectExtent l="0" t="0" r="3810" b="5080"/>
            <wp:docPr id="67" name="图片 67" descr="快速精准化检测项目开展流程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快速精准化检测项目开展流程1111"/>
                    <pic:cNvPicPr>
                      <a:picLocks noChangeAspect="1"/>
                    </pic:cNvPicPr>
                  </pic:nvPicPr>
                  <pic:blipFill>
                    <a:blip r:embed="rId36"/>
                    <a:srcRect t="2829" b="2629"/>
                    <a:stretch>
                      <a:fillRect/>
                    </a:stretch>
                  </pic:blipFill>
                  <pic:spPr>
                    <a:xfrm>
                      <a:off x="0" y="0"/>
                      <a:ext cx="5406390" cy="7900670"/>
                    </a:xfrm>
                    <a:prstGeom prst="rect">
                      <a:avLst/>
                    </a:prstGeom>
                  </pic:spPr>
                </pic:pic>
              </a:graphicData>
            </a:graphic>
          </wp:inline>
        </w:drawing>
      </w:r>
    </w:p>
    <w:p w14:paraId="3822702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黑体" w:hAnsi="黑体" w:eastAsia="黑体" w:cs="黑体"/>
        </w:rPr>
      </w:pPr>
      <w:r>
        <w:rPr>
          <w:rFonts w:hint="eastAsia" w:ascii="黑体" w:hAnsi="黑体" w:eastAsia="黑体" w:cs="黑体"/>
        </w:rPr>
        <w:t>图</w:t>
      </w:r>
      <w:r>
        <w:rPr>
          <w:rFonts w:hint="eastAsia" w:ascii="黑体" w:hAnsi="黑体" w:eastAsia="黑体" w:cs="黑体"/>
          <w:lang w:val="en-US" w:eastAsia="zh-CN"/>
        </w:rPr>
        <w:t>4</w:t>
      </w:r>
      <w:r>
        <w:rPr>
          <w:rFonts w:hint="eastAsia" w:ascii="黑体" w:hAnsi="黑体" w:eastAsia="黑体" w:cs="黑体"/>
        </w:rPr>
        <w:t>.1</w:t>
      </w:r>
      <w:r>
        <w:rPr>
          <w:rFonts w:hint="eastAsia" w:ascii="黑体" w:hAnsi="黑体" w:eastAsia="黑体" w:cs="黑体"/>
          <w:lang w:val="en-US" w:eastAsia="zh-CN"/>
        </w:rPr>
        <w:t>2</w:t>
      </w:r>
      <w:r>
        <w:rPr>
          <w:rFonts w:hint="eastAsia" w:ascii="黑体" w:hAnsi="黑体" w:eastAsia="黑体" w:cs="黑体"/>
        </w:rPr>
        <w:t xml:space="preserve">  检测作业流程</w:t>
      </w:r>
    </w:p>
    <w:p w14:paraId="7990EC94">
      <w:pPr>
        <w:pStyle w:val="2"/>
        <w:keepNext/>
        <w:keepLines/>
        <w:pageBreakBefore w:val="0"/>
        <w:widowControl w:val="0"/>
        <w:kinsoku/>
        <w:wordWrap/>
        <w:overflowPunct/>
        <w:topLinePunct w:val="0"/>
        <w:autoSpaceDE/>
        <w:autoSpaceDN/>
        <w:bidi w:val="0"/>
        <w:adjustRightInd w:val="0"/>
        <w:snapToGrid w:val="0"/>
        <w:textAlignment w:val="auto"/>
        <w:rPr>
          <w:rFonts w:hint="eastAsia"/>
        </w:rPr>
      </w:pPr>
      <w:bookmarkStart w:id="67" w:name="_Toc28563"/>
      <w:bookmarkStart w:id="68" w:name="_Toc13736"/>
      <w:bookmarkStart w:id="69" w:name="_Toc14243"/>
      <w:bookmarkStart w:id="70" w:name="_Toc30219"/>
      <w:r>
        <w:rPr>
          <w:rFonts w:hint="eastAsia"/>
          <w:lang w:val="en-US" w:eastAsia="zh-CN"/>
        </w:rPr>
        <w:t xml:space="preserve">5  </w:t>
      </w:r>
      <w:r>
        <w:rPr>
          <w:rFonts w:hint="eastAsia"/>
        </w:rPr>
        <w:t>路面表观病害及</w:t>
      </w:r>
      <w:r>
        <w:rPr>
          <w:rFonts w:hint="eastAsia"/>
          <w:lang w:val="en-US" w:eastAsia="zh-CN"/>
        </w:rPr>
        <w:t>道路线形快速精准</w:t>
      </w:r>
      <w:r>
        <w:rPr>
          <w:rFonts w:hint="eastAsia"/>
        </w:rPr>
        <w:t>检测</w:t>
      </w:r>
      <w:bookmarkEnd w:id="67"/>
      <w:bookmarkEnd w:id="68"/>
      <w:bookmarkEnd w:id="69"/>
      <w:bookmarkEnd w:id="70"/>
    </w:p>
    <w:p w14:paraId="7251A25B">
      <w:pPr>
        <w:rPr>
          <w:rFonts w:hint="eastAsia"/>
        </w:rPr>
      </w:pPr>
      <w:r>
        <w:rPr>
          <w:rFonts w:hint="eastAsia"/>
          <w:lang w:val="en-US" w:eastAsia="zh-CN"/>
        </w:rPr>
        <w:t>应以</w:t>
      </w:r>
      <w:r>
        <w:rPr>
          <w:rFonts w:hint="eastAsia"/>
        </w:rPr>
        <w:t>GNSS、IMU</w:t>
      </w:r>
      <w:r>
        <w:rPr>
          <w:rFonts w:hint="eastAsia"/>
          <w:lang w:eastAsia="zh-CN"/>
        </w:rPr>
        <w:t>、</w:t>
      </w:r>
      <w:r>
        <w:rPr>
          <w:rFonts w:hint="eastAsia"/>
        </w:rPr>
        <w:t>里程计</w:t>
      </w:r>
      <w:r>
        <w:rPr>
          <w:rFonts w:hint="eastAsia"/>
          <w:lang w:val="en-US" w:eastAsia="zh-CN"/>
        </w:rPr>
        <w:t>及</w:t>
      </w:r>
      <w:r>
        <w:rPr>
          <w:rFonts w:hint="eastAsia"/>
        </w:rPr>
        <w:t>激光扫描传感器为核心定位传感器，基于组合导航算法，融合后差分定位技术、姿态及距离测量技术相互辅助，为设备提供精准的位置及姿态信息。</w:t>
      </w:r>
    </w:p>
    <w:p w14:paraId="193DD998">
      <w:pPr>
        <w:rPr>
          <w:rFonts w:hint="eastAsia"/>
        </w:rPr>
      </w:pPr>
      <w:r>
        <w:rPr>
          <w:rFonts w:hint="eastAsia"/>
          <w:lang w:val="en-US" w:eastAsia="zh-CN"/>
        </w:rPr>
        <w:t>应</w:t>
      </w:r>
      <w:r>
        <w:rPr>
          <w:rFonts w:hint="eastAsia"/>
        </w:rPr>
        <w:t>以多传感器时空同步技术为基准，实现各个传感器原始数据的时间同步，统一时间基准，为各检测数据、点云数据及定位数据的空间匹配提供基准。</w:t>
      </w:r>
    </w:p>
    <w:p w14:paraId="291459AE">
      <w:pPr>
        <w:pStyle w:val="3"/>
        <w:bidi w:val="0"/>
        <w:rPr>
          <w:rFonts w:hint="default" w:eastAsia="黑体"/>
          <w:b w:val="0"/>
          <w:bCs/>
          <w:lang w:val="en-US" w:eastAsia="zh-CN"/>
        </w:rPr>
      </w:pPr>
      <w:bookmarkStart w:id="71" w:name="_Toc15548"/>
      <w:bookmarkStart w:id="72" w:name="_Toc4027"/>
      <w:bookmarkStart w:id="73" w:name="_Toc20679"/>
      <w:bookmarkStart w:id="74" w:name="_Toc267"/>
      <w:r>
        <w:rPr>
          <w:rFonts w:hint="eastAsia"/>
          <w:b w:val="0"/>
          <w:bCs/>
          <w:lang w:val="en-US" w:eastAsia="zh-CN"/>
        </w:rPr>
        <w:t>5</w:t>
      </w:r>
      <w:r>
        <w:rPr>
          <w:rFonts w:hint="eastAsia"/>
          <w:b w:val="0"/>
          <w:bCs/>
        </w:rPr>
        <w:t>.1</w:t>
      </w:r>
      <w:r>
        <w:rPr>
          <w:rFonts w:hint="eastAsia"/>
          <w:b w:val="0"/>
          <w:bCs/>
          <w:lang w:val="en-US" w:eastAsia="zh-CN"/>
        </w:rPr>
        <w:t>三维智能道路检测</w:t>
      </w:r>
      <w:r>
        <w:rPr>
          <w:rFonts w:hint="eastAsia"/>
          <w:b w:val="0"/>
          <w:bCs/>
        </w:rPr>
        <w:t>设备组成</w:t>
      </w:r>
      <w:bookmarkEnd w:id="71"/>
      <w:r>
        <w:rPr>
          <w:rFonts w:hint="eastAsia"/>
          <w:b w:val="0"/>
          <w:bCs/>
          <w:lang w:val="en-US" w:eastAsia="zh-CN"/>
        </w:rPr>
        <w:t>和功能</w:t>
      </w:r>
    </w:p>
    <w:p w14:paraId="44CC7699">
      <w:pPr>
        <w:bidi w:val="0"/>
        <w:rPr>
          <w:rFonts w:hint="eastAsia"/>
        </w:rPr>
      </w:pPr>
      <w:r>
        <w:rPr>
          <w:rFonts w:hint="eastAsia"/>
        </w:rPr>
        <w:t>能实现路面平整度、路面跳车、路面构造深度、路面磨耗、路面车辙、路面破损指标</w:t>
      </w:r>
      <w:r>
        <w:rPr>
          <w:rFonts w:hint="eastAsia"/>
          <w:lang w:val="en-US" w:eastAsia="zh-CN"/>
        </w:rPr>
        <w:t>数据</w:t>
      </w:r>
      <w:r>
        <w:rPr>
          <w:rFonts w:hint="eastAsia"/>
        </w:rPr>
        <w:t>及成果输出，支持同步采用二维图像及三维点云数据识别</w:t>
      </w:r>
      <w:r>
        <w:rPr>
          <w:rFonts w:hint="eastAsia"/>
          <w:lang w:val="en-US" w:eastAsia="zh-CN"/>
        </w:rPr>
        <w:t>路面破损</w:t>
      </w:r>
      <w:r>
        <w:rPr>
          <w:rFonts w:hint="eastAsia"/>
        </w:rPr>
        <w:t>及变形类病害，能够实现路面三维绝对坐标点云数据采集及输出。</w:t>
      </w:r>
    </w:p>
    <w:p w14:paraId="14449717">
      <w:pPr>
        <w:pStyle w:val="3"/>
        <w:bidi w:val="0"/>
        <w:rPr>
          <w:rFonts w:hint="eastAsia"/>
        </w:rPr>
      </w:pPr>
      <w:bookmarkStart w:id="75" w:name="_Toc25892"/>
      <w:r>
        <w:rPr>
          <w:rFonts w:hint="eastAsia"/>
          <w:lang w:val="en-US" w:eastAsia="zh-CN"/>
        </w:rPr>
        <w:t>5</w:t>
      </w:r>
      <w:r>
        <w:rPr>
          <w:rFonts w:hint="eastAsia"/>
        </w:rPr>
        <w:t>.</w:t>
      </w:r>
      <w:r>
        <w:rPr>
          <w:rFonts w:hint="eastAsia"/>
          <w:lang w:val="en-US" w:eastAsia="zh-CN"/>
        </w:rPr>
        <w:t>2</w:t>
      </w:r>
      <w:r>
        <w:rPr>
          <w:rFonts w:hint="eastAsia"/>
          <w:b w:val="0"/>
          <w:bCs/>
          <w:lang w:val="en-US" w:eastAsia="zh-CN"/>
        </w:rPr>
        <w:t>三维智能道路检测</w:t>
      </w:r>
      <w:r>
        <w:rPr>
          <w:rFonts w:hint="eastAsia"/>
        </w:rPr>
        <w:t>仪器设备精度</w:t>
      </w:r>
      <w:bookmarkEnd w:id="75"/>
    </w:p>
    <w:p w14:paraId="42F0CADE">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表5.2  三维智能道路检测仪器设备精度</w:t>
      </w:r>
    </w:p>
    <w:tbl>
      <w:tblPr>
        <w:tblStyle w:val="16"/>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89"/>
        <w:gridCol w:w="2025"/>
        <w:gridCol w:w="2835"/>
        <w:gridCol w:w="4022"/>
      </w:tblGrid>
      <w:tr w14:paraId="76223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454" w:hRule="atLeast"/>
          <w:tblHeader/>
        </w:trPr>
        <w:tc>
          <w:tcPr>
            <w:tcW w:w="359" w:type="pct"/>
            <w:tcBorders>
              <w:tl2br w:val="nil"/>
              <w:tr2bl w:val="nil"/>
            </w:tcBorders>
            <w:shd w:val="clear" w:color="auto" w:fill="auto"/>
            <w:noWrap/>
            <w:vAlign w:val="center"/>
          </w:tcPr>
          <w:p w14:paraId="43FDE6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bookmarkStart w:id="76" w:name="_Toc30240"/>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序号</w:t>
            </w:r>
          </w:p>
        </w:tc>
        <w:tc>
          <w:tcPr>
            <w:tcW w:w="2538" w:type="pct"/>
            <w:gridSpan w:val="2"/>
            <w:tcBorders>
              <w:tl2br w:val="nil"/>
              <w:tr2bl w:val="nil"/>
            </w:tcBorders>
            <w:shd w:val="clear" w:color="auto" w:fill="auto"/>
            <w:noWrap/>
            <w:vAlign w:val="center"/>
          </w:tcPr>
          <w:p w14:paraId="20EE4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项目</w:t>
            </w:r>
          </w:p>
        </w:tc>
        <w:tc>
          <w:tcPr>
            <w:tcW w:w="2101" w:type="pct"/>
            <w:tcBorders>
              <w:tl2br w:val="nil"/>
              <w:tr2bl w:val="nil"/>
            </w:tcBorders>
            <w:shd w:val="clear" w:color="auto" w:fill="auto"/>
            <w:noWrap/>
            <w:vAlign w:val="center"/>
          </w:tcPr>
          <w:p w14:paraId="6075D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要求</w:t>
            </w:r>
          </w:p>
        </w:tc>
      </w:tr>
      <w:tr w14:paraId="1C953A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tcBorders>
              <w:tl2br w:val="nil"/>
              <w:tr2bl w:val="nil"/>
            </w:tcBorders>
            <w:shd w:val="clear" w:color="auto" w:fill="auto"/>
            <w:noWrap/>
            <w:vAlign w:val="center"/>
          </w:tcPr>
          <w:p w14:paraId="22EBF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2538" w:type="pct"/>
            <w:gridSpan w:val="2"/>
            <w:tcBorders>
              <w:tl2br w:val="nil"/>
              <w:tr2bl w:val="nil"/>
            </w:tcBorders>
            <w:shd w:val="clear" w:color="auto" w:fill="auto"/>
            <w:noWrap/>
            <w:vAlign w:val="center"/>
          </w:tcPr>
          <w:p w14:paraId="74A26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里程测量误差</w:t>
            </w:r>
          </w:p>
        </w:tc>
        <w:tc>
          <w:tcPr>
            <w:tcW w:w="2101" w:type="pct"/>
            <w:tcBorders>
              <w:tl2br w:val="nil"/>
              <w:tr2bl w:val="nil"/>
            </w:tcBorders>
            <w:shd w:val="clear" w:color="auto" w:fill="auto"/>
            <w:noWrap/>
            <w:vAlign w:val="center"/>
          </w:tcPr>
          <w:p w14:paraId="434662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±0.05%</w:t>
            </w:r>
          </w:p>
        </w:tc>
      </w:tr>
      <w:tr w14:paraId="7617A4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restart"/>
            <w:tcBorders>
              <w:tl2br w:val="nil"/>
              <w:tr2bl w:val="nil"/>
            </w:tcBorders>
            <w:shd w:val="clear" w:color="auto" w:fill="auto"/>
            <w:noWrap/>
            <w:vAlign w:val="center"/>
          </w:tcPr>
          <w:p w14:paraId="5333B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1057" w:type="pct"/>
            <w:vMerge w:val="restart"/>
            <w:tcBorders>
              <w:tl2br w:val="nil"/>
              <w:tr2bl w:val="nil"/>
            </w:tcBorders>
            <w:shd w:val="clear" w:color="auto" w:fill="auto"/>
            <w:noWrap/>
            <w:vAlign w:val="center"/>
          </w:tcPr>
          <w:p w14:paraId="2E892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路面损坏检测系统</w:t>
            </w:r>
          </w:p>
        </w:tc>
        <w:tc>
          <w:tcPr>
            <w:tcW w:w="1481" w:type="pct"/>
            <w:tcBorders>
              <w:tl2br w:val="nil"/>
              <w:tr2bl w:val="nil"/>
            </w:tcBorders>
            <w:shd w:val="clear" w:color="auto" w:fill="auto"/>
            <w:noWrap/>
            <w:vAlign w:val="center"/>
          </w:tcPr>
          <w:p w14:paraId="2A77D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横向检测宽度/m</w:t>
            </w:r>
          </w:p>
        </w:tc>
        <w:tc>
          <w:tcPr>
            <w:tcW w:w="2101" w:type="pct"/>
            <w:tcBorders>
              <w:tl2br w:val="nil"/>
              <w:tr2bl w:val="nil"/>
            </w:tcBorders>
            <w:shd w:val="clear" w:color="auto" w:fill="auto"/>
            <w:noWrap/>
            <w:vAlign w:val="center"/>
          </w:tcPr>
          <w:p w14:paraId="0FE346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≥3.75</w:t>
            </w:r>
          </w:p>
        </w:tc>
      </w:tr>
      <w:tr w14:paraId="7F475E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6CC779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12E755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0EE1B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裂缝最小分辨宽度/mm</w:t>
            </w:r>
          </w:p>
        </w:tc>
        <w:tc>
          <w:tcPr>
            <w:tcW w:w="2101" w:type="pct"/>
            <w:tcBorders>
              <w:tl2br w:val="nil"/>
              <w:tr2bl w:val="nil"/>
            </w:tcBorders>
            <w:shd w:val="clear" w:color="auto" w:fill="auto"/>
            <w:noWrap/>
            <w:vAlign w:val="center"/>
          </w:tcPr>
          <w:p w14:paraId="00E25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r>
      <w:tr w14:paraId="33C30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56901D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731C3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4CC953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路面损坏面积测量误差</w:t>
            </w:r>
          </w:p>
        </w:tc>
        <w:tc>
          <w:tcPr>
            <w:tcW w:w="2101" w:type="pct"/>
            <w:tcBorders>
              <w:tl2br w:val="nil"/>
              <w:tr2bl w:val="nil"/>
            </w:tcBorders>
            <w:shd w:val="clear" w:color="auto" w:fill="auto"/>
            <w:noWrap/>
            <w:vAlign w:val="center"/>
          </w:tcPr>
          <w:p w14:paraId="7F578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±10%</w:t>
            </w:r>
          </w:p>
        </w:tc>
      </w:tr>
      <w:tr w14:paraId="013BC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restart"/>
            <w:tcBorders>
              <w:tl2br w:val="nil"/>
              <w:tr2bl w:val="nil"/>
            </w:tcBorders>
            <w:shd w:val="clear" w:color="auto" w:fill="auto"/>
            <w:noWrap/>
            <w:vAlign w:val="center"/>
          </w:tcPr>
          <w:p w14:paraId="45DFDB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w:t>
            </w:r>
          </w:p>
        </w:tc>
        <w:tc>
          <w:tcPr>
            <w:tcW w:w="1057" w:type="pct"/>
            <w:vMerge w:val="restart"/>
            <w:tcBorders>
              <w:tl2br w:val="nil"/>
              <w:tr2bl w:val="nil"/>
            </w:tcBorders>
            <w:shd w:val="clear" w:color="auto" w:fill="auto"/>
            <w:noWrap/>
            <w:vAlign w:val="center"/>
          </w:tcPr>
          <w:p w14:paraId="530E6B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平整度检测系统</w:t>
            </w:r>
          </w:p>
        </w:tc>
        <w:tc>
          <w:tcPr>
            <w:tcW w:w="1481" w:type="pct"/>
            <w:tcBorders>
              <w:tl2br w:val="nil"/>
              <w:tr2bl w:val="nil"/>
            </w:tcBorders>
            <w:shd w:val="clear" w:color="auto" w:fill="auto"/>
            <w:noWrap/>
            <w:vAlign w:val="center"/>
          </w:tcPr>
          <w:p w14:paraId="1FEF8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激光测距传感器</w:t>
            </w:r>
          </w:p>
        </w:tc>
        <w:tc>
          <w:tcPr>
            <w:tcW w:w="2101" w:type="pct"/>
            <w:tcBorders>
              <w:tl2br w:val="nil"/>
              <w:tr2bl w:val="nil"/>
            </w:tcBorders>
            <w:shd w:val="clear" w:color="auto" w:fill="auto"/>
            <w:noWrap/>
            <w:vAlign w:val="center"/>
          </w:tcPr>
          <w:p w14:paraId="478E3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符合GB/T 14267的规定</w:t>
            </w:r>
          </w:p>
        </w:tc>
      </w:tr>
      <w:tr w14:paraId="65E38A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2221C7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061CBB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C8F2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测量示值误差/mm</w:t>
            </w:r>
          </w:p>
        </w:tc>
        <w:tc>
          <w:tcPr>
            <w:tcW w:w="2101" w:type="pct"/>
            <w:tcBorders>
              <w:tl2br w:val="nil"/>
              <w:tr2bl w:val="nil"/>
            </w:tcBorders>
            <w:shd w:val="clear" w:color="auto" w:fill="auto"/>
            <w:noWrap/>
            <w:vAlign w:val="center"/>
          </w:tcPr>
          <w:p w14:paraId="716B73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r>
      <w:tr w14:paraId="5FB7C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3CFC42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42BFF8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6B93B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测量重复性</w:t>
            </w:r>
          </w:p>
        </w:tc>
        <w:tc>
          <w:tcPr>
            <w:tcW w:w="2101" w:type="pct"/>
            <w:tcBorders>
              <w:tl2br w:val="nil"/>
              <w:tr2bl w:val="nil"/>
            </w:tcBorders>
            <w:shd w:val="clear" w:color="auto" w:fill="auto"/>
            <w:noWrap/>
            <w:vAlign w:val="center"/>
          </w:tcPr>
          <w:p w14:paraId="55B76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1DC387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34B214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21336B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7865F0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速度影响误差</w:t>
            </w:r>
          </w:p>
        </w:tc>
        <w:tc>
          <w:tcPr>
            <w:tcW w:w="2101" w:type="pct"/>
            <w:tcBorders>
              <w:tl2br w:val="nil"/>
              <w:tr2bl w:val="nil"/>
            </w:tcBorders>
            <w:shd w:val="clear" w:color="auto" w:fill="auto"/>
            <w:noWrap/>
            <w:vAlign w:val="center"/>
          </w:tcPr>
          <w:p w14:paraId="076F3E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3C5802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62DF17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30E73E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C33D8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测量相关系数</w:t>
            </w:r>
          </w:p>
        </w:tc>
        <w:tc>
          <w:tcPr>
            <w:tcW w:w="2101" w:type="pct"/>
            <w:tcBorders>
              <w:tl2br w:val="nil"/>
              <w:tr2bl w:val="nil"/>
            </w:tcBorders>
            <w:shd w:val="clear" w:color="auto" w:fill="auto"/>
            <w:noWrap/>
            <w:vAlign w:val="center"/>
          </w:tcPr>
          <w:p w14:paraId="1DE71C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≥0.99</w:t>
            </w:r>
          </w:p>
        </w:tc>
      </w:tr>
      <w:tr w14:paraId="667166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restart"/>
            <w:tcBorders>
              <w:tl2br w:val="nil"/>
              <w:tr2bl w:val="nil"/>
            </w:tcBorders>
            <w:shd w:val="clear" w:color="auto" w:fill="auto"/>
            <w:noWrap/>
            <w:vAlign w:val="center"/>
          </w:tcPr>
          <w:p w14:paraId="4C1E0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1057" w:type="pct"/>
            <w:vMerge w:val="restart"/>
            <w:tcBorders>
              <w:tl2br w:val="nil"/>
              <w:tr2bl w:val="nil"/>
            </w:tcBorders>
            <w:shd w:val="clear" w:color="auto" w:fill="auto"/>
            <w:noWrap/>
            <w:vAlign w:val="center"/>
          </w:tcPr>
          <w:p w14:paraId="61696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车辙检测系统</w:t>
            </w:r>
          </w:p>
        </w:tc>
        <w:tc>
          <w:tcPr>
            <w:tcW w:w="1481" w:type="pct"/>
            <w:tcBorders>
              <w:tl2br w:val="nil"/>
              <w:tr2bl w:val="nil"/>
            </w:tcBorders>
            <w:shd w:val="clear" w:color="auto" w:fill="auto"/>
            <w:noWrap/>
            <w:vAlign w:val="center"/>
          </w:tcPr>
          <w:p w14:paraId="5B9AC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激光测距传感器</w:t>
            </w:r>
          </w:p>
        </w:tc>
        <w:tc>
          <w:tcPr>
            <w:tcW w:w="2101" w:type="pct"/>
            <w:tcBorders>
              <w:tl2br w:val="nil"/>
              <w:tr2bl w:val="nil"/>
            </w:tcBorders>
            <w:shd w:val="clear" w:color="auto" w:fill="auto"/>
            <w:noWrap/>
            <w:vAlign w:val="center"/>
          </w:tcPr>
          <w:p w14:paraId="7B7A20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符合GB/T 14267的规定</w:t>
            </w:r>
          </w:p>
        </w:tc>
      </w:tr>
      <w:tr w14:paraId="491252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0733AD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516558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6AAEA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测量示值误差/mm</w:t>
            </w:r>
          </w:p>
        </w:tc>
        <w:tc>
          <w:tcPr>
            <w:tcW w:w="2101" w:type="pct"/>
            <w:tcBorders>
              <w:tl2br w:val="nil"/>
              <w:tr2bl w:val="nil"/>
            </w:tcBorders>
            <w:shd w:val="clear" w:color="auto" w:fill="auto"/>
            <w:noWrap/>
            <w:vAlign w:val="center"/>
          </w:tcPr>
          <w:p w14:paraId="3CAB49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r>
      <w:tr w14:paraId="004B37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56EA06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1293FA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078399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横向检测宽度/m</w:t>
            </w:r>
          </w:p>
        </w:tc>
        <w:tc>
          <w:tcPr>
            <w:tcW w:w="2101" w:type="pct"/>
            <w:tcBorders>
              <w:tl2br w:val="nil"/>
              <w:tr2bl w:val="nil"/>
            </w:tcBorders>
            <w:shd w:val="clear" w:color="auto" w:fill="auto"/>
            <w:noWrap/>
            <w:vAlign w:val="center"/>
          </w:tcPr>
          <w:p w14:paraId="45EE5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≥3.75</w:t>
            </w:r>
          </w:p>
        </w:tc>
      </w:tr>
      <w:tr w14:paraId="1A87A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7F067A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E4187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438AD8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测量重复性</w:t>
            </w:r>
          </w:p>
        </w:tc>
        <w:tc>
          <w:tcPr>
            <w:tcW w:w="2101" w:type="pct"/>
            <w:tcBorders>
              <w:tl2br w:val="nil"/>
              <w:tr2bl w:val="nil"/>
            </w:tcBorders>
            <w:shd w:val="clear" w:color="auto" w:fill="auto"/>
            <w:noWrap/>
            <w:vAlign w:val="center"/>
          </w:tcPr>
          <w:p w14:paraId="16158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28283F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10B3F7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17799C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DF56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速度影响误差</w:t>
            </w:r>
          </w:p>
        </w:tc>
        <w:tc>
          <w:tcPr>
            <w:tcW w:w="2101" w:type="pct"/>
            <w:tcBorders>
              <w:tl2br w:val="nil"/>
              <w:tr2bl w:val="nil"/>
            </w:tcBorders>
            <w:shd w:val="clear" w:color="auto" w:fill="auto"/>
            <w:noWrap/>
            <w:vAlign w:val="center"/>
          </w:tcPr>
          <w:p w14:paraId="55302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7DA9F9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restart"/>
            <w:tcBorders>
              <w:tl2br w:val="nil"/>
              <w:tr2bl w:val="nil"/>
            </w:tcBorders>
            <w:shd w:val="clear" w:color="auto" w:fill="auto"/>
            <w:noWrap/>
            <w:vAlign w:val="center"/>
          </w:tcPr>
          <w:p w14:paraId="6332C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c>
          <w:tcPr>
            <w:tcW w:w="1057" w:type="pct"/>
            <w:vMerge w:val="restart"/>
            <w:tcBorders>
              <w:tl2br w:val="nil"/>
              <w:tr2bl w:val="nil"/>
            </w:tcBorders>
            <w:shd w:val="clear" w:color="auto" w:fill="auto"/>
            <w:noWrap/>
            <w:vAlign w:val="center"/>
          </w:tcPr>
          <w:p w14:paraId="4EB6A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构造深度和</w:t>
            </w:r>
          </w:p>
          <w:p w14:paraId="3F962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磨耗检测系统</w:t>
            </w:r>
          </w:p>
        </w:tc>
        <w:tc>
          <w:tcPr>
            <w:tcW w:w="1481" w:type="pct"/>
            <w:tcBorders>
              <w:tl2br w:val="nil"/>
              <w:tr2bl w:val="nil"/>
            </w:tcBorders>
            <w:shd w:val="clear" w:color="auto" w:fill="auto"/>
            <w:noWrap/>
            <w:vAlign w:val="center"/>
          </w:tcPr>
          <w:p w14:paraId="4C4B7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激光测距传感器</w:t>
            </w:r>
          </w:p>
        </w:tc>
        <w:tc>
          <w:tcPr>
            <w:tcW w:w="2101" w:type="pct"/>
            <w:tcBorders>
              <w:tl2br w:val="nil"/>
              <w:tr2bl w:val="nil"/>
            </w:tcBorders>
            <w:shd w:val="clear" w:color="auto" w:fill="auto"/>
            <w:noWrap/>
            <w:vAlign w:val="center"/>
          </w:tcPr>
          <w:p w14:paraId="17CB17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符合GB/T 14267的规定</w:t>
            </w:r>
          </w:p>
        </w:tc>
      </w:tr>
      <w:tr w14:paraId="189F28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2B87FF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644CF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4309E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测量示值误差/mm</w:t>
            </w:r>
          </w:p>
        </w:tc>
        <w:tc>
          <w:tcPr>
            <w:tcW w:w="2101" w:type="pct"/>
            <w:tcBorders>
              <w:tl2br w:val="nil"/>
              <w:tr2bl w:val="nil"/>
            </w:tcBorders>
            <w:shd w:val="clear" w:color="auto" w:fill="auto"/>
            <w:noWrap/>
            <w:vAlign w:val="center"/>
          </w:tcPr>
          <w:p w14:paraId="4EA6A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±0.5</w:t>
            </w:r>
          </w:p>
        </w:tc>
      </w:tr>
      <w:tr w14:paraId="4BF16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623F13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612FDD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8FCC6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测量重复性</w:t>
            </w:r>
          </w:p>
        </w:tc>
        <w:tc>
          <w:tcPr>
            <w:tcW w:w="2101" w:type="pct"/>
            <w:tcBorders>
              <w:tl2br w:val="nil"/>
              <w:tr2bl w:val="nil"/>
            </w:tcBorders>
            <w:shd w:val="clear" w:color="auto" w:fill="auto"/>
            <w:noWrap/>
            <w:vAlign w:val="center"/>
          </w:tcPr>
          <w:p w14:paraId="4EA1C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6B091B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3DBDED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53179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733DD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速度影响误差</w:t>
            </w:r>
          </w:p>
        </w:tc>
        <w:tc>
          <w:tcPr>
            <w:tcW w:w="2101" w:type="pct"/>
            <w:tcBorders>
              <w:tl2br w:val="nil"/>
              <w:tr2bl w:val="nil"/>
            </w:tcBorders>
            <w:shd w:val="clear" w:color="auto" w:fill="auto"/>
            <w:noWrap/>
            <w:vAlign w:val="center"/>
          </w:tcPr>
          <w:p w14:paraId="44DB2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50DA0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5885D0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36AC7A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1DAF4F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测量相关系数</w:t>
            </w:r>
          </w:p>
        </w:tc>
        <w:tc>
          <w:tcPr>
            <w:tcW w:w="2101" w:type="pct"/>
            <w:tcBorders>
              <w:tl2br w:val="nil"/>
              <w:tr2bl w:val="nil"/>
            </w:tcBorders>
            <w:shd w:val="clear" w:color="auto" w:fill="auto"/>
            <w:noWrap/>
            <w:vAlign w:val="center"/>
          </w:tcPr>
          <w:p w14:paraId="2A4C22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≥0.97</w:t>
            </w:r>
          </w:p>
        </w:tc>
      </w:tr>
      <w:tr w14:paraId="101F6F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restart"/>
            <w:tcBorders>
              <w:tl2br w:val="nil"/>
              <w:tr2bl w:val="nil"/>
            </w:tcBorders>
            <w:shd w:val="clear" w:color="auto" w:fill="auto"/>
            <w:noWrap/>
            <w:vAlign w:val="center"/>
          </w:tcPr>
          <w:p w14:paraId="777B1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w:t>
            </w:r>
          </w:p>
        </w:tc>
        <w:tc>
          <w:tcPr>
            <w:tcW w:w="1057" w:type="pct"/>
            <w:vMerge w:val="restart"/>
            <w:tcBorders>
              <w:tl2br w:val="nil"/>
              <w:tr2bl w:val="nil"/>
            </w:tcBorders>
            <w:shd w:val="clear" w:color="auto" w:fill="auto"/>
            <w:noWrap/>
            <w:vAlign w:val="center"/>
          </w:tcPr>
          <w:p w14:paraId="3BEA9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跳车检测系统</w:t>
            </w:r>
          </w:p>
        </w:tc>
        <w:tc>
          <w:tcPr>
            <w:tcW w:w="1481" w:type="pct"/>
            <w:tcBorders>
              <w:tl2br w:val="nil"/>
              <w:tr2bl w:val="nil"/>
            </w:tcBorders>
            <w:shd w:val="clear" w:color="auto" w:fill="auto"/>
            <w:noWrap/>
            <w:vAlign w:val="center"/>
          </w:tcPr>
          <w:p w14:paraId="07F55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激光测距传感器</w:t>
            </w:r>
          </w:p>
        </w:tc>
        <w:tc>
          <w:tcPr>
            <w:tcW w:w="2101" w:type="pct"/>
            <w:tcBorders>
              <w:tl2br w:val="nil"/>
              <w:tr2bl w:val="nil"/>
            </w:tcBorders>
            <w:shd w:val="clear" w:color="auto" w:fill="auto"/>
            <w:noWrap/>
            <w:vAlign w:val="center"/>
          </w:tcPr>
          <w:p w14:paraId="65136E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符合GB/T 14267的规定</w:t>
            </w:r>
          </w:p>
        </w:tc>
      </w:tr>
      <w:tr w14:paraId="791187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617075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FD075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1DD760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测量示值误差/mm</w:t>
            </w:r>
          </w:p>
        </w:tc>
        <w:tc>
          <w:tcPr>
            <w:tcW w:w="2101" w:type="pct"/>
            <w:tcBorders>
              <w:tl2br w:val="nil"/>
              <w:tr2bl w:val="nil"/>
            </w:tcBorders>
            <w:shd w:val="clear" w:color="auto" w:fill="auto"/>
            <w:noWrap/>
            <w:vAlign w:val="center"/>
          </w:tcPr>
          <w:p w14:paraId="152EE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r>
      <w:tr w14:paraId="38B7EA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53D002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07CB20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1AA12C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测量重复性</w:t>
            </w:r>
          </w:p>
        </w:tc>
        <w:tc>
          <w:tcPr>
            <w:tcW w:w="2101" w:type="pct"/>
            <w:tcBorders>
              <w:tl2br w:val="nil"/>
              <w:tr2bl w:val="nil"/>
            </w:tcBorders>
            <w:shd w:val="clear" w:color="auto" w:fill="auto"/>
            <w:noWrap/>
            <w:vAlign w:val="center"/>
          </w:tcPr>
          <w:p w14:paraId="667FC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749664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0B2118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03D9BE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80970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速度影响误差</w:t>
            </w:r>
          </w:p>
        </w:tc>
        <w:tc>
          <w:tcPr>
            <w:tcW w:w="2101" w:type="pct"/>
            <w:tcBorders>
              <w:tl2br w:val="nil"/>
              <w:tr2bl w:val="nil"/>
            </w:tcBorders>
            <w:shd w:val="clear" w:color="auto" w:fill="auto"/>
            <w:noWrap/>
            <w:vAlign w:val="center"/>
          </w:tcPr>
          <w:p w14:paraId="325616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bl>
    <w:p w14:paraId="501D1E00">
      <w:pPr>
        <w:pStyle w:val="3"/>
        <w:keepNext w:val="0"/>
        <w:keepLines w:val="0"/>
        <w:pageBreakBefore w:val="0"/>
        <w:widowControl w:val="0"/>
        <w:kinsoku/>
        <w:wordWrap/>
        <w:overflowPunct/>
        <w:topLinePunct w:val="0"/>
        <w:autoSpaceDE/>
        <w:autoSpaceDN/>
        <w:bidi w:val="0"/>
        <w:adjustRightInd/>
        <w:snapToGrid/>
        <w:textAlignment w:val="auto"/>
        <w:rPr>
          <w:rFonts w:hint="eastAsia" w:eastAsia="黑体"/>
          <w:lang w:val="en-US" w:eastAsia="zh-CN"/>
        </w:rPr>
      </w:pPr>
      <w:r>
        <w:rPr>
          <w:rFonts w:hint="eastAsia"/>
          <w:lang w:val="en-US" w:eastAsia="zh-CN"/>
        </w:rPr>
        <w:t>5</w:t>
      </w:r>
      <w:r>
        <w:rPr>
          <w:rFonts w:hint="eastAsia"/>
        </w:rPr>
        <w:t>.</w:t>
      </w:r>
      <w:r>
        <w:rPr>
          <w:rFonts w:hint="eastAsia"/>
          <w:lang w:val="en-US" w:eastAsia="zh-CN"/>
        </w:rPr>
        <w:t>3</w:t>
      </w:r>
      <w:r>
        <w:rPr>
          <w:rFonts w:hint="eastAsia"/>
        </w:rPr>
        <w:t xml:space="preserve"> </w:t>
      </w:r>
      <w:r>
        <w:rPr>
          <w:rFonts w:hint="eastAsia"/>
          <w:lang w:val="en-US" w:eastAsia="zh-CN"/>
        </w:rPr>
        <w:t>现场</w:t>
      </w:r>
      <w:bookmarkEnd w:id="76"/>
      <w:r>
        <w:rPr>
          <w:rFonts w:hint="eastAsia"/>
          <w:lang w:val="en-US" w:eastAsia="zh-CN"/>
        </w:rPr>
        <w:t>检测</w:t>
      </w:r>
    </w:p>
    <w:p w14:paraId="5EC28B55">
      <w:pPr>
        <w:pStyle w:val="4"/>
        <w:bidi w:val="0"/>
        <w:rPr>
          <w:rFonts w:hint="eastAsia"/>
        </w:rPr>
      </w:pPr>
      <w:r>
        <w:rPr>
          <w:rFonts w:hint="eastAsia"/>
          <w:lang w:val="en-US" w:eastAsia="zh-CN"/>
        </w:rPr>
        <w:t>5</w:t>
      </w:r>
      <w:r>
        <w:rPr>
          <w:rFonts w:hint="eastAsia"/>
        </w:rPr>
        <w:t>.</w:t>
      </w:r>
      <w:r>
        <w:rPr>
          <w:rFonts w:hint="eastAsia"/>
          <w:lang w:val="en-US" w:eastAsia="zh-CN"/>
        </w:rPr>
        <w:t>3</w:t>
      </w:r>
      <w:r>
        <w:rPr>
          <w:rFonts w:hint="eastAsia"/>
        </w:rPr>
        <w:t>.1 GNSS基站布设</w:t>
      </w:r>
    </w:p>
    <w:p w14:paraId="020CDA12">
      <w:pPr>
        <w:bidi w:val="0"/>
        <w:rPr>
          <w:rFonts w:hint="eastAsia"/>
        </w:rPr>
      </w:pPr>
      <w:r>
        <w:rPr>
          <w:rFonts w:hint="eastAsia"/>
          <w:lang w:val="en-US" w:eastAsia="zh-CN"/>
        </w:rPr>
        <w:t xml:space="preserve">a) </w:t>
      </w:r>
      <w:r>
        <w:rPr>
          <w:rFonts w:hint="eastAsia"/>
        </w:rPr>
        <w:t>CORS覆盖的高速公路区域内，宜使用CORS后差分技术处理。</w:t>
      </w:r>
    </w:p>
    <w:p w14:paraId="638AF192">
      <w:pPr>
        <w:bidi w:val="0"/>
        <w:rPr>
          <w:rFonts w:hint="eastAsia"/>
          <w:lang w:val="en-US" w:eastAsia="zh-CN"/>
        </w:rPr>
      </w:pPr>
      <w:r>
        <w:rPr>
          <w:rFonts w:hint="eastAsia"/>
          <w:lang w:val="en-US" w:eastAsia="zh-CN"/>
        </w:rPr>
        <w:t xml:space="preserve">b) </w:t>
      </w:r>
      <w:r>
        <w:rPr>
          <w:rFonts w:hint="eastAsia"/>
        </w:rPr>
        <w:t>在卫星信号满足条件的情况下，可使用云基站或虚拟基站</w:t>
      </w:r>
      <w:r>
        <w:rPr>
          <w:rFonts w:hint="eastAsia"/>
          <w:lang w:val="en-US" w:eastAsia="zh-CN"/>
        </w:rPr>
        <w:t>。</w:t>
      </w:r>
    </w:p>
    <w:p w14:paraId="5A5E5078">
      <w:pPr>
        <w:bidi w:val="0"/>
        <w:rPr>
          <w:rFonts w:hint="eastAsia" w:ascii="宋体" w:hAnsi="宋体" w:eastAsia="宋体"/>
          <w:lang w:eastAsia="zh-CN"/>
        </w:rPr>
      </w:pPr>
      <w:r>
        <w:rPr>
          <w:rFonts w:hint="eastAsia"/>
          <w:lang w:val="en-US" w:eastAsia="zh-CN"/>
        </w:rPr>
        <w:t xml:space="preserve">c) </w:t>
      </w:r>
      <w:r>
        <w:rPr>
          <w:rFonts w:hint="eastAsia" w:ascii="宋体" w:hAnsi="宋体" w:eastAsia="宋体"/>
          <w:lang w:val="en-US" w:eastAsia="zh-CN"/>
        </w:rPr>
        <w:t>GNSS基准站控制半径不宜大于20km</w:t>
      </w:r>
      <w:r>
        <w:rPr>
          <w:rFonts w:hint="eastAsia"/>
          <w:lang w:val="en-US" w:eastAsia="zh-CN"/>
        </w:rPr>
        <w:t>，</w:t>
      </w:r>
      <w:r>
        <w:rPr>
          <w:rFonts w:hint="eastAsia" w:ascii="宋体" w:hAnsi="宋体" w:eastAsia="宋体"/>
          <w:lang w:val="en-US" w:eastAsia="zh-CN"/>
        </w:rPr>
        <w:t>宜架设双站</w:t>
      </w:r>
      <w:r>
        <w:rPr>
          <w:rFonts w:hint="eastAsia" w:ascii="宋体" w:hAnsi="宋体" w:eastAsia="宋体"/>
          <w:lang w:eastAsia="zh-CN"/>
        </w:rPr>
        <w:t>。</w:t>
      </w:r>
    </w:p>
    <w:p w14:paraId="5EBF37E5">
      <w:pPr>
        <w:pStyle w:val="4"/>
        <w:bidi w:val="0"/>
        <w:rPr>
          <w:rFonts w:hint="eastAsia"/>
        </w:rPr>
      </w:pPr>
      <w:r>
        <w:rPr>
          <w:rFonts w:hint="eastAsia"/>
          <w:lang w:val="en-US" w:eastAsia="zh-CN"/>
        </w:rPr>
        <w:t>5</w:t>
      </w:r>
      <w:r>
        <w:rPr>
          <w:rFonts w:hint="eastAsia"/>
        </w:rPr>
        <w:t>.</w:t>
      </w:r>
      <w:r>
        <w:rPr>
          <w:rFonts w:hint="eastAsia"/>
          <w:lang w:val="en-US" w:eastAsia="zh-CN"/>
        </w:rPr>
        <w:t>3</w:t>
      </w:r>
      <w:r>
        <w:rPr>
          <w:rFonts w:hint="eastAsia"/>
        </w:rPr>
        <w:t>.2 控制点布设与测量</w:t>
      </w:r>
    </w:p>
    <w:p w14:paraId="7359D3DA">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当三维激光点云数据</w:t>
      </w:r>
      <w:r>
        <w:rPr>
          <w:rFonts w:hint="eastAsia" w:asciiTheme="minorEastAsia" w:hAnsiTheme="minorEastAsia" w:eastAsiaTheme="minorEastAsia" w:cstheme="minorEastAsia"/>
          <w:lang w:val="en-US" w:eastAsia="zh-CN"/>
        </w:rPr>
        <w:t>不</w:t>
      </w:r>
      <w:r>
        <w:rPr>
          <w:rFonts w:hint="eastAsia" w:asciiTheme="minorEastAsia" w:hAnsiTheme="minorEastAsia" w:eastAsiaTheme="minorEastAsia" w:cstheme="minorEastAsia"/>
        </w:rPr>
        <w:t>满足作业精度要求时，应布设测量地面控制点，提高测量数据绝对精度。</w:t>
      </w:r>
    </w:p>
    <w:p w14:paraId="162E6B65">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控制点布设满足下列要求：</w:t>
      </w:r>
    </w:p>
    <w:p w14:paraId="59759CA5">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应综合考虑轨迹姿态、三维点云精度要求，均匀分布在采集路径上。</w:t>
      </w:r>
    </w:p>
    <w:p w14:paraId="37947622">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应充分利用地面上具有一定厚度和大小的道路标志线，如车道线、箭头指示标志等。</w:t>
      </w:r>
    </w:p>
    <w:p w14:paraId="7E8C0D82">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无法找到合适道路标线或地物时，应增设靶标作为控制点。</w:t>
      </w:r>
    </w:p>
    <w:p w14:paraId="0CAF9044">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控制点测量精度应不低于图根控制的精度要求。</w:t>
      </w:r>
    </w:p>
    <w:p w14:paraId="1D52C4F0">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控制点应根据测区统一编号，同一测区不应重复编号。</w:t>
      </w:r>
    </w:p>
    <w:p w14:paraId="27BEE674">
      <w:pPr>
        <w:pStyle w:val="4"/>
        <w:bidi w:val="0"/>
        <w:rPr>
          <w:rFonts w:hint="eastAsia"/>
        </w:rPr>
      </w:pPr>
      <w:r>
        <w:rPr>
          <w:rFonts w:hint="eastAsia"/>
          <w:lang w:val="en-US" w:eastAsia="zh-CN"/>
        </w:rPr>
        <w:t>5</w:t>
      </w:r>
      <w:r>
        <w:rPr>
          <w:rFonts w:hint="eastAsia"/>
        </w:rPr>
        <w:t>.</w:t>
      </w:r>
      <w:r>
        <w:rPr>
          <w:rFonts w:hint="eastAsia"/>
          <w:lang w:val="en-US" w:eastAsia="zh-CN"/>
        </w:rPr>
        <w:t>3</w:t>
      </w:r>
      <w:r>
        <w:rPr>
          <w:rFonts w:hint="eastAsia"/>
        </w:rPr>
        <w:t xml:space="preserve">.3 </w:t>
      </w:r>
      <w:r>
        <w:rPr>
          <w:rFonts w:hint="eastAsia"/>
          <w:lang w:val="en-US" w:eastAsia="zh-CN"/>
        </w:rPr>
        <w:t xml:space="preserve"> </w:t>
      </w:r>
      <w:r>
        <w:rPr>
          <w:rFonts w:hint="eastAsia"/>
        </w:rPr>
        <w:t>检查点布设与测量</w:t>
      </w:r>
    </w:p>
    <w:p w14:paraId="222985CA">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检查点平面位置精度应不低于GB/T 18314中E级GPS点的精度要求，高程精度应不低于等外水准的精度要求</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在特殊困难区域，控制点精度可放宽0.5倍。</w:t>
      </w:r>
    </w:p>
    <w:p w14:paraId="6B30876E">
      <w:pPr>
        <w:pStyle w:val="4"/>
        <w:bidi w:val="0"/>
        <w:rPr>
          <w:rFonts w:hint="eastAsia"/>
        </w:rPr>
      </w:pPr>
      <w:r>
        <w:rPr>
          <w:rFonts w:hint="eastAsia"/>
          <w:lang w:val="en-US" w:eastAsia="zh-CN"/>
        </w:rPr>
        <w:t>5</w:t>
      </w:r>
      <w:r>
        <w:rPr>
          <w:rFonts w:hint="eastAsia"/>
        </w:rPr>
        <w:t>.</w:t>
      </w:r>
      <w:r>
        <w:rPr>
          <w:rFonts w:hint="eastAsia"/>
          <w:lang w:val="en-US" w:eastAsia="zh-CN"/>
        </w:rPr>
        <w:t>3</w:t>
      </w:r>
      <w:r>
        <w:rPr>
          <w:rFonts w:hint="eastAsia"/>
        </w:rPr>
        <w:t xml:space="preserve">.4 </w:t>
      </w:r>
      <w:r>
        <w:rPr>
          <w:rFonts w:hint="eastAsia"/>
          <w:lang w:val="en-US" w:eastAsia="zh-CN"/>
        </w:rPr>
        <w:t xml:space="preserve"> </w:t>
      </w:r>
      <w:r>
        <w:rPr>
          <w:rFonts w:hint="eastAsia"/>
        </w:rPr>
        <w:t>现场数据采集</w:t>
      </w:r>
    </w:p>
    <w:p w14:paraId="7F498810">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a）</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车载IMU/GNSS/DMI组合定位系统的初始化宜采用静置方式。</w:t>
      </w:r>
    </w:p>
    <w:p w14:paraId="73549FB7">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行驶速度应满足点云密度要求，高速公路行驶速度不宜</w:t>
      </w:r>
      <w:r>
        <w:rPr>
          <w:rFonts w:hint="eastAsia" w:asciiTheme="minorEastAsia" w:hAnsiTheme="minorEastAsia" w:eastAsiaTheme="minorEastAsia" w:cstheme="minorEastAsia"/>
          <w:lang w:val="en-US" w:eastAsia="zh-CN"/>
        </w:rPr>
        <w:t>低于6</w:t>
      </w:r>
      <w:r>
        <w:rPr>
          <w:rFonts w:hint="eastAsia" w:asciiTheme="minorEastAsia" w:hAnsiTheme="minorEastAsia" w:eastAsiaTheme="minorEastAsia" w:cstheme="minorEastAsia"/>
        </w:rPr>
        <w:t>0 km/h</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不宜超过</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0 km/h。</w:t>
      </w:r>
    </w:p>
    <w:p w14:paraId="469BDF1D">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现场检测记录表见附录A及附录B</w:t>
      </w:r>
      <w:r>
        <w:rPr>
          <w:rFonts w:hint="eastAsia" w:asciiTheme="minorEastAsia" w:hAnsiTheme="minorEastAsia" w:eastAsiaTheme="minorEastAsia" w:cstheme="minorEastAsia"/>
        </w:rPr>
        <w:t>。</w:t>
      </w:r>
    </w:p>
    <w:p w14:paraId="34533458">
      <w:pPr>
        <w:bidi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车载三维激光采集的点云数据应满足表</w:t>
      </w:r>
      <w:r>
        <w:rPr>
          <w:rFonts w:hint="eastAsia" w:asciiTheme="minorEastAsia" w:hAnsiTheme="minorEastAsia" w:eastAsiaTheme="minorEastAsia" w:cstheme="minorEastAsia"/>
          <w:lang w:val="en-US" w:eastAsia="zh-CN"/>
        </w:rPr>
        <w:t>6.3.4</w:t>
      </w:r>
      <w:r>
        <w:rPr>
          <w:rFonts w:hint="eastAsia" w:asciiTheme="minorEastAsia" w:hAnsiTheme="minorEastAsia" w:eastAsiaTheme="minorEastAsia" w:cstheme="minorEastAsia"/>
        </w:rPr>
        <w:t>的要求。</w:t>
      </w:r>
    </w:p>
    <w:p w14:paraId="57E3ADD0">
      <w:pPr>
        <w:bidi w:val="0"/>
        <w:jc w:val="center"/>
        <w:rPr>
          <w:rFonts w:hint="eastAsia" w:ascii="黑体" w:hAnsi="黑体" w:eastAsia="黑体" w:cs="黑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6.3.4</w:t>
      </w:r>
      <w:r>
        <w:rPr>
          <w:rFonts w:hint="eastAsia" w:ascii="黑体" w:hAnsi="黑体" w:eastAsia="黑体" w:cs="黑体"/>
          <w:sz w:val="21"/>
          <w:szCs w:val="21"/>
        </w:rPr>
        <w:t xml:space="preserve">  车载三维激光点云数据要求</w:t>
      </w:r>
    </w:p>
    <w:tbl>
      <w:tblPr>
        <w:tblStyle w:val="28"/>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26"/>
        <w:gridCol w:w="3191"/>
        <w:gridCol w:w="3566"/>
      </w:tblGrid>
      <w:tr w14:paraId="03D539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99" w:type="pct"/>
            <w:tcBorders>
              <w:tl2br w:val="nil"/>
              <w:tr2bl w:val="nil"/>
            </w:tcBorders>
            <w:vAlign w:val="center"/>
          </w:tcPr>
          <w:p w14:paraId="4FE7D5A1">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点云密度</w:t>
            </w:r>
          </w:p>
        </w:tc>
        <w:tc>
          <w:tcPr>
            <w:tcW w:w="1700" w:type="pct"/>
            <w:tcBorders>
              <w:tl2br w:val="nil"/>
              <w:tr2bl w:val="nil"/>
            </w:tcBorders>
            <w:vAlign w:val="center"/>
          </w:tcPr>
          <w:p w14:paraId="5319BEF6">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平面中误差(cm)</w:t>
            </w:r>
          </w:p>
        </w:tc>
        <w:tc>
          <w:tcPr>
            <w:tcW w:w="1900" w:type="pct"/>
            <w:tcBorders>
              <w:tl2br w:val="nil"/>
              <w:tr2bl w:val="nil"/>
            </w:tcBorders>
            <w:vAlign w:val="center"/>
          </w:tcPr>
          <w:p w14:paraId="4F561A8B">
            <w:pPr>
              <w:tabs>
                <w:tab w:val="left" w:pos="560"/>
                <w:tab w:val="right" w:leader="dot" w:pos="8680"/>
              </w:tabs>
              <w:adjustRightInd w:val="0"/>
              <w:snapToGrid w:val="0"/>
              <w:spacing w:line="240" w:lineRule="auto"/>
              <w:ind w:firstLine="149" w:firstLineChars="83"/>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高程中误差(cm)</w:t>
            </w:r>
          </w:p>
        </w:tc>
      </w:tr>
      <w:tr w14:paraId="5616E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99" w:type="pct"/>
            <w:tcBorders>
              <w:tl2br w:val="nil"/>
              <w:tr2bl w:val="nil"/>
            </w:tcBorders>
            <w:vAlign w:val="center"/>
          </w:tcPr>
          <w:p w14:paraId="7C5E6057">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2mm*2mm间距</w:t>
            </w:r>
          </w:p>
        </w:tc>
        <w:tc>
          <w:tcPr>
            <w:tcW w:w="1700" w:type="pct"/>
            <w:tcBorders>
              <w:tl2br w:val="nil"/>
              <w:tr2bl w:val="nil"/>
            </w:tcBorders>
            <w:vAlign w:val="center"/>
          </w:tcPr>
          <w:p w14:paraId="0C1D1694">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1900" w:type="pct"/>
            <w:tcBorders>
              <w:tl2br w:val="nil"/>
              <w:tr2bl w:val="nil"/>
            </w:tcBorders>
            <w:vAlign w:val="center"/>
          </w:tcPr>
          <w:p w14:paraId="696DDBC9">
            <w:pPr>
              <w:tabs>
                <w:tab w:val="left" w:pos="560"/>
                <w:tab w:val="right" w:leader="dot" w:pos="8680"/>
              </w:tabs>
              <w:adjustRightInd w:val="0"/>
              <w:snapToGrid w:val="0"/>
              <w:spacing w:line="240" w:lineRule="auto"/>
              <w:ind w:firstLine="149" w:firstLineChars="83"/>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w:t>
            </w:r>
          </w:p>
        </w:tc>
      </w:tr>
    </w:tbl>
    <w:p w14:paraId="7F385443">
      <w:pPr>
        <w:pStyle w:val="3"/>
        <w:bidi w:val="0"/>
        <w:rPr>
          <w:rFonts w:hint="eastAsia"/>
        </w:rPr>
      </w:pPr>
      <w:bookmarkStart w:id="77" w:name="_Toc18288"/>
      <w:r>
        <w:rPr>
          <w:rFonts w:hint="eastAsia"/>
          <w:lang w:val="en-US" w:eastAsia="zh-CN"/>
        </w:rPr>
        <w:t>5</w:t>
      </w:r>
      <w:r>
        <w:rPr>
          <w:rFonts w:hint="eastAsia"/>
        </w:rPr>
        <w:t>.</w:t>
      </w:r>
      <w:r>
        <w:rPr>
          <w:rFonts w:hint="eastAsia"/>
          <w:lang w:val="en-US" w:eastAsia="zh-CN"/>
        </w:rPr>
        <w:t>4</w:t>
      </w:r>
      <w:r>
        <w:rPr>
          <w:rFonts w:hint="eastAsia"/>
        </w:rPr>
        <w:t xml:space="preserve"> 数据处理</w:t>
      </w:r>
      <w:bookmarkEnd w:id="77"/>
    </w:p>
    <w:p w14:paraId="43EC60CE">
      <w:pPr>
        <w:pStyle w:val="4"/>
        <w:bidi w:val="0"/>
        <w:rPr>
          <w:rFonts w:hint="eastAsia"/>
        </w:rPr>
      </w:pPr>
      <w:r>
        <w:rPr>
          <w:rFonts w:hint="eastAsia"/>
          <w:lang w:val="en-US" w:eastAsia="zh-CN"/>
        </w:rPr>
        <w:t>5</w:t>
      </w:r>
      <w:r>
        <w:rPr>
          <w:rFonts w:hint="eastAsia"/>
        </w:rPr>
        <w:t>.</w:t>
      </w:r>
      <w:r>
        <w:rPr>
          <w:rFonts w:hint="eastAsia"/>
          <w:lang w:val="en-US" w:eastAsia="zh-CN"/>
        </w:rPr>
        <w:t>4</w:t>
      </w:r>
      <w:r>
        <w:rPr>
          <w:rFonts w:hint="eastAsia"/>
        </w:rPr>
        <w:t>.1 POS数据解算</w:t>
      </w:r>
    </w:p>
    <w:p w14:paraId="647A9782">
      <w:pPr>
        <w:numPr>
          <w:ilvl w:val="0"/>
          <w:numId w:val="5"/>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POS数据采用距离测区最近的GNSS基站数据或联合多基站数据进行解算。</w:t>
      </w:r>
    </w:p>
    <w:p w14:paraId="3EE1F04D">
      <w:pPr>
        <w:numPr>
          <w:ilvl w:val="0"/>
          <w:numId w:val="5"/>
        </w:numPr>
        <w:bidi w:val="0"/>
        <w:ind w:left="0" w:leftChars="0"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在GNSS卫星信号较差或失锁的区域精度不满足要求的</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通过控制点改善点云精度。</w:t>
      </w:r>
    </w:p>
    <w:p w14:paraId="04446D91">
      <w:pPr>
        <w:pStyle w:val="3"/>
        <w:bidi w:val="0"/>
        <w:ind w:firstLine="0" w:firstLineChars="0"/>
        <w:outlineLvl w:val="2"/>
        <w:rPr>
          <w:rFonts w:hint="eastAsia"/>
        </w:rPr>
      </w:pPr>
      <w:r>
        <w:rPr>
          <w:rFonts w:hint="eastAsia"/>
          <w:lang w:val="en-US" w:eastAsia="zh-CN"/>
        </w:rPr>
        <w:t>5</w:t>
      </w:r>
      <w:r>
        <w:rPr>
          <w:rFonts w:hint="eastAsia"/>
        </w:rPr>
        <w:t>.</w:t>
      </w:r>
      <w:r>
        <w:rPr>
          <w:rFonts w:hint="eastAsia"/>
          <w:lang w:val="en-US" w:eastAsia="zh-CN"/>
        </w:rPr>
        <w:t>4</w:t>
      </w:r>
      <w:r>
        <w:rPr>
          <w:rFonts w:hint="eastAsia"/>
        </w:rPr>
        <w:t xml:space="preserve">.2 </w:t>
      </w:r>
      <w:r>
        <w:rPr>
          <w:rFonts w:hint="eastAsia"/>
          <w:lang w:val="en-US" w:eastAsia="zh-CN"/>
        </w:rPr>
        <w:t xml:space="preserve"> </w:t>
      </w:r>
      <w:r>
        <w:rPr>
          <w:rFonts w:hint="eastAsia"/>
        </w:rPr>
        <w:t>点云数据处理</w:t>
      </w:r>
    </w:p>
    <w:p w14:paraId="00660983">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a）</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点云数据宜包括空间坐标、地物反射强度等基本信息。</w:t>
      </w:r>
    </w:p>
    <w:p w14:paraId="01901234">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不同车道采集的点云数据，应进行车道点云数据拼接处理。</w:t>
      </w:r>
    </w:p>
    <w:p w14:paraId="74C85F09">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点云数据进行降噪处理，并滤除明显低于地面、明显高于测区内地物的激光点云和移动地物激光点云，具体处理方法应符合CH/T 8023的相关规定。</w:t>
      </w:r>
    </w:p>
    <w:p w14:paraId="666466C9">
      <w:pPr>
        <w:bidi w:val="0"/>
        <w:rPr>
          <w:rFonts w:hint="eastAsia"/>
        </w:rPr>
      </w:pPr>
      <w:r>
        <w:rPr>
          <w:rFonts w:hint="eastAsia" w:asciiTheme="minorEastAsia" w:hAnsiTheme="minorEastAsia" w:eastAsiaTheme="minorEastAsia" w:cstheme="minorEastAsia"/>
        </w:rPr>
        <w:t>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用检查点进行点云数据精度验证</w:t>
      </w:r>
      <w:r>
        <w:rPr>
          <w:rFonts w:hint="eastAsia"/>
        </w:rPr>
        <w:t>。</w:t>
      </w:r>
    </w:p>
    <w:p w14:paraId="120DF04A">
      <w:pPr>
        <w:pStyle w:val="4"/>
        <w:bidi w:val="0"/>
        <w:rPr>
          <w:rFonts w:hint="eastAsia"/>
        </w:rPr>
      </w:pPr>
      <w:r>
        <w:rPr>
          <w:rFonts w:hint="eastAsia"/>
          <w:lang w:val="en-US" w:eastAsia="zh-CN"/>
        </w:rPr>
        <w:t>5</w:t>
      </w:r>
      <w:r>
        <w:rPr>
          <w:rFonts w:hint="eastAsia"/>
        </w:rPr>
        <w:t>.</w:t>
      </w:r>
      <w:r>
        <w:rPr>
          <w:rFonts w:hint="eastAsia"/>
          <w:lang w:val="en-US" w:eastAsia="zh-CN"/>
        </w:rPr>
        <w:t>4</w:t>
      </w:r>
      <w:r>
        <w:rPr>
          <w:rFonts w:hint="eastAsia"/>
        </w:rPr>
        <w:t xml:space="preserve">.3 </w:t>
      </w:r>
      <w:r>
        <w:rPr>
          <w:rFonts w:hint="eastAsia"/>
          <w:lang w:val="en-US" w:eastAsia="zh-CN"/>
        </w:rPr>
        <w:t xml:space="preserve"> </w:t>
      </w:r>
      <w:r>
        <w:rPr>
          <w:rFonts w:hint="eastAsia"/>
        </w:rPr>
        <w:t>点云图像生成</w:t>
      </w:r>
    </w:p>
    <w:p w14:paraId="4C0440E2">
      <w:pPr>
        <w:keepNext w:val="0"/>
        <w:keepLines w:val="0"/>
        <w:pageBreakBefore w:val="0"/>
        <w:widowControl w:val="0"/>
        <w:numPr>
          <w:ilvl w:val="0"/>
          <w:numId w:val="6"/>
        </w:numPr>
        <w:kinsoku/>
        <w:wordWrap/>
        <w:overflowPunct/>
        <w:topLinePunct w:val="0"/>
        <w:autoSpaceDE/>
        <w:autoSpaceDN/>
        <w:bidi w:val="0"/>
        <w:adjustRightInd/>
        <w:snapToGrid/>
        <w:textAlignment w:val="auto"/>
        <w:rPr>
          <w:rFonts w:hint="eastAsia"/>
        </w:rPr>
      </w:pPr>
      <w:r>
        <w:rPr>
          <w:rFonts w:hint="eastAsia"/>
        </w:rPr>
        <w:t>基于路面三维点云数据，正射投影生成点云深度图像。</w:t>
      </w:r>
    </w:p>
    <w:p w14:paraId="5EC1B925">
      <w:pPr>
        <w:keepNext w:val="0"/>
        <w:keepLines w:val="0"/>
        <w:pageBreakBefore w:val="0"/>
        <w:widowControl w:val="0"/>
        <w:numPr>
          <w:ilvl w:val="0"/>
          <w:numId w:val="6"/>
        </w:numPr>
        <w:kinsoku/>
        <w:wordWrap/>
        <w:overflowPunct/>
        <w:topLinePunct w:val="0"/>
        <w:autoSpaceDE/>
        <w:autoSpaceDN/>
        <w:bidi w:val="0"/>
        <w:adjustRightInd/>
        <w:snapToGrid/>
        <w:textAlignment w:val="auto"/>
        <w:rPr>
          <w:rFonts w:hint="eastAsia"/>
        </w:rPr>
      </w:pPr>
      <w:r>
        <w:rPr>
          <w:rFonts w:hint="eastAsia"/>
        </w:rPr>
        <w:t>点云深度图像的每个像素点的值可用于表征路面某一点的高程与某一参考高程的高差，反</w:t>
      </w:r>
      <w:r>
        <w:rPr>
          <w:rFonts w:hint="eastAsia"/>
          <w:lang w:val="en-US" w:eastAsia="zh-CN"/>
        </w:rPr>
        <w:t>映</w:t>
      </w:r>
      <w:r>
        <w:rPr>
          <w:rFonts w:hint="eastAsia"/>
        </w:rPr>
        <w:t>路面的高低起伏状态。</w:t>
      </w:r>
    </w:p>
    <w:p w14:paraId="2E0CEC56">
      <w:pPr>
        <w:pStyle w:val="3"/>
        <w:bidi w:val="0"/>
        <w:rPr>
          <w:rFonts w:hint="eastAsia"/>
        </w:rPr>
      </w:pPr>
      <w:bookmarkStart w:id="78" w:name="_Toc804"/>
      <w:r>
        <w:rPr>
          <w:rFonts w:hint="eastAsia"/>
          <w:lang w:val="en-US" w:eastAsia="zh-CN"/>
        </w:rPr>
        <w:t>5</w:t>
      </w:r>
      <w:r>
        <w:rPr>
          <w:rFonts w:hint="eastAsia"/>
        </w:rPr>
        <w:t>.</w:t>
      </w:r>
      <w:r>
        <w:rPr>
          <w:rFonts w:hint="eastAsia"/>
          <w:lang w:val="en-US" w:eastAsia="zh-CN"/>
        </w:rPr>
        <w:t xml:space="preserve">5 </w:t>
      </w:r>
      <w:r>
        <w:rPr>
          <w:rFonts w:hint="eastAsia"/>
        </w:rPr>
        <w:t xml:space="preserve"> 成果提取</w:t>
      </w:r>
      <w:bookmarkEnd w:id="78"/>
    </w:p>
    <w:p w14:paraId="163FA196">
      <w:pPr>
        <w:pStyle w:val="4"/>
        <w:bidi w:val="0"/>
        <w:rPr>
          <w:rFonts w:hint="default"/>
          <w:lang w:val="en-US"/>
        </w:rPr>
      </w:pPr>
      <w:r>
        <w:rPr>
          <w:rFonts w:hint="eastAsia"/>
          <w:lang w:val="en-US" w:eastAsia="zh-CN"/>
        </w:rPr>
        <w:t>5</w:t>
      </w:r>
      <w:r>
        <w:rPr>
          <w:rFonts w:hint="eastAsia"/>
        </w:rPr>
        <w:t>.</w:t>
      </w:r>
      <w:r>
        <w:rPr>
          <w:rFonts w:hint="eastAsia"/>
          <w:lang w:val="en-US" w:eastAsia="zh-CN"/>
        </w:rPr>
        <w:t>5</w:t>
      </w:r>
      <w:r>
        <w:rPr>
          <w:rFonts w:hint="eastAsia"/>
        </w:rPr>
        <w:t xml:space="preserve">.1 </w:t>
      </w:r>
      <w:r>
        <w:rPr>
          <w:rFonts w:hint="eastAsia"/>
          <w:lang w:val="en-US" w:eastAsia="zh-CN"/>
        </w:rPr>
        <w:t xml:space="preserve"> 路面技术状况数据提取</w:t>
      </w:r>
    </w:p>
    <w:p w14:paraId="5A1A393A">
      <w:pPr>
        <w:bidi w:val="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自动计算并输出路面行驶质量指数RQI、路面车辙深度指数RDI、路面跳车指数PBI、路面磨耗指数PWI、路面构造深度TD、路面损坏状况指数PCI等检测</w:t>
      </w:r>
      <w:r>
        <w:rPr>
          <w:rFonts w:hint="eastAsia" w:asciiTheme="minorEastAsia" w:hAnsiTheme="minorEastAsia" w:eastAsiaTheme="minorEastAsia" w:cstheme="minorEastAsia"/>
          <w:lang w:val="en-US" w:eastAsia="zh-CN"/>
        </w:rPr>
        <w:t>参数</w:t>
      </w:r>
      <w:r>
        <w:rPr>
          <w:rFonts w:hint="eastAsia" w:asciiTheme="minorEastAsia" w:hAnsiTheme="minorEastAsia" w:eastAsiaTheme="minorEastAsia" w:cstheme="minorEastAsia"/>
        </w:rPr>
        <w:t>报表</w:t>
      </w:r>
      <w:r>
        <w:rPr>
          <w:rFonts w:hint="eastAsia" w:asciiTheme="minorEastAsia" w:hAnsiTheme="minorEastAsia" w:eastAsiaTheme="minorEastAsia" w:cstheme="minorEastAsia"/>
          <w:lang w:eastAsia="zh-CN"/>
        </w:rPr>
        <w:t>。</w:t>
      </w:r>
    </w:p>
    <w:p w14:paraId="04DAB8C7">
      <w:pPr>
        <w:pStyle w:val="4"/>
        <w:bidi w:val="0"/>
        <w:rPr>
          <w:rFonts w:hint="eastAsia"/>
        </w:rPr>
      </w:pPr>
      <w:r>
        <w:rPr>
          <w:rFonts w:hint="eastAsia"/>
          <w:lang w:val="en-US" w:eastAsia="zh-CN"/>
        </w:rPr>
        <w:t>5</w:t>
      </w:r>
      <w:r>
        <w:rPr>
          <w:rFonts w:hint="eastAsia"/>
        </w:rPr>
        <w:t>.</w:t>
      </w:r>
      <w:r>
        <w:rPr>
          <w:rFonts w:hint="eastAsia"/>
          <w:lang w:val="en-US" w:eastAsia="zh-CN"/>
        </w:rPr>
        <w:t>5</w:t>
      </w:r>
      <w:r>
        <w:rPr>
          <w:rFonts w:hint="eastAsia"/>
        </w:rPr>
        <w:t xml:space="preserve">.2 </w:t>
      </w:r>
      <w:r>
        <w:rPr>
          <w:rFonts w:hint="eastAsia"/>
          <w:lang w:val="en-US" w:eastAsia="zh-CN"/>
        </w:rPr>
        <w:t xml:space="preserve"> </w:t>
      </w:r>
      <w:r>
        <w:rPr>
          <w:rFonts w:hint="eastAsia"/>
        </w:rPr>
        <w:t>路面</w:t>
      </w:r>
      <w:r>
        <w:rPr>
          <w:rFonts w:hint="eastAsia"/>
          <w:lang w:val="en-US" w:eastAsia="zh-CN"/>
        </w:rPr>
        <w:t>表观</w:t>
      </w:r>
      <w:r>
        <w:rPr>
          <w:rFonts w:hint="eastAsia"/>
        </w:rPr>
        <w:t>病害</w:t>
      </w:r>
      <w:r>
        <w:rPr>
          <w:rFonts w:hint="eastAsia"/>
          <w:lang w:val="en-US" w:eastAsia="zh-CN"/>
        </w:rPr>
        <w:t>数据</w:t>
      </w:r>
      <w:r>
        <w:rPr>
          <w:rFonts w:hint="eastAsia"/>
        </w:rPr>
        <w:t>提取</w:t>
      </w:r>
    </w:p>
    <w:p w14:paraId="2317AA7B">
      <w:pPr>
        <w:numPr>
          <w:ilvl w:val="0"/>
          <w:numId w:val="7"/>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采用二维图像及点云深度图像识别并提取路面病害。</w:t>
      </w:r>
    </w:p>
    <w:p w14:paraId="77E98E33">
      <w:pPr>
        <w:numPr>
          <w:ilvl w:val="0"/>
          <w:numId w:val="7"/>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点云数据中存在脱离路面的异常点、孤立点及由于路面杂物产生的噪声点时，采用滤波方法或人工方式进行降噪处理。</w:t>
      </w:r>
    </w:p>
    <w:p w14:paraId="5CD439A8">
      <w:pPr>
        <w:numPr>
          <w:ilvl w:val="0"/>
          <w:numId w:val="7"/>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路面病害提取规则如下：</w:t>
      </w:r>
    </w:p>
    <w:p w14:paraId="738B7E00">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根据不同</w:t>
      </w:r>
      <w:r>
        <w:rPr>
          <w:rFonts w:hint="eastAsia" w:cs="宋体"/>
          <w:lang w:val="en-US" w:eastAsia="zh-CN"/>
        </w:rPr>
        <w:t>路面</w:t>
      </w:r>
      <w:r>
        <w:rPr>
          <w:rFonts w:hint="eastAsia" w:ascii="宋体" w:hAnsi="宋体" w:eastAsia="宋体" w:cs="宋体"/>
        </w:rPr>
        <w:t>病害类型，采用点、线、面对路面病害进行结构化表达</w:t>
      </w:r>
      <w:r>
        <w:rPr>
          <w:rFonts w:hint="eastAsia" w:ascii="宋体" w:hAnsi="宋体" w:eastAsia="宋体" w:cs="宋体"/>
          <w:lang w:eastAsia="zh-CN"/>
        </w:rPr>
        <w:t>；</w:t>
      </w:r>
    </w:p>
    <w:p w14:paraId="198F85A3">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面状病害外部轮廓宜采用矩形进行标记</w:t>
      </w:r>
      <w:r>
        <w:rPr>
          <w:rFonts w:hint="eastAsia" w:ascii="宋体" w:hAnsi="宋体" w:eastAsia="宋体" w:cs="宋体"/>
          <w:lang w:eastAsia="zh-CN"/>
        </w:rPr>
        <w:t>；</w:t>
      </w:r>
    </w:p>
    <w:p w14:paraId="0F6D6585">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线状病害宜沿着病害发展情况进行标记</w:t>
      </w:r>
      <w:r>
        <w:rPr>
          <w:rFonts w:hint="eastAsia" w:ascii="宋体" w:hAnsi="宋体" w:eastAsia="宋体" w:cs="宋体"/>
          <w:lang w:eastAsia="zh-CN"/>
        </w:rPr>
        <w:t>；</w:t>
      </w:r>
    </w:p>
    <w:p w14:paraId="384E4F2E">
      <w:pPr>
        <w:bidi w:val="0"/>
        <w:ind w:firstLine="840" w:firstLineChars="40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病害能够与里程桩号建立关联。</w:t>
      </w:r>
    </w:p>
    <w:p w14:paraId="050E213F">
      <w:pPr>
        <w:numPr>
          <w:ilvl w:val="0"/>
          <w:numId w:val="7"/>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变形类病害提取时，根据病害识别的范围，</w:t>
      </w:r>
      <w:r>
        <w:rPr>
          <w:rFonts w:hint="eastAsia" w:asciiTheme="minorEastAsia" w:hAnsiTheme="minorEastAsia" w:eastAsiaTheme="minorEastAsia" w:cstheme="minorEastAsia"/>
          <w:lang w:val="en-US" w:eastAsia="zh-CN"/>
        </w:rPr>
        <w:t>以</w:t>
      </w:r>
      <w:r>
        <w:rPr>
          <w:rFonts w:hint="eastAsia" w:asciiTheme="minorEastAsia" w:hAnsiTheme="minorEastAsia" w:eastAsiaTheme="minorEastAsia" w:cstheme="minorEastAsia"/>
        </w:rPr>
        <w:t>自动</w:t>
      </w:r>
      <w:r>
        <w:rPr>
          <w:rFonts w:hint="eastAsia" w:asciiTheme="minorEastAsia" w:hAnsiTheme="minorEastAsia" w:eastAsiaTheme="minorEastAsia" w:cstheme="minorEastAsia"/>
          <w:lang w:val="en-US" w:eastAsia="zh-CN"/>
        </w:rPr>
        <w:t>或人工方式</w:t>
      </w:r>
      <w:r>
        <w:rPr>
          <w:rFonts w:hint="eastAsia" w:asciiTheme="minorEastAsia" w:hAnsiTheme="minorEastAsia" w:eastAsiaTheme="minorEastAsia" w:cstheme="minorEastAsia"/>
        </w:rPr>
        <w:t>提取对应范围内的点云数据，根据各类变形类病害定义要求，计算病害范围内点云的高差，输出病害深度信息。</w:t>
      </w:r>
    </w:p>
    <w:p w14:paraId="00E602B0">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路面病害输出矢量及平面病害分布图，输出规则如下：</w:t>
      </w:r>
    </w:p>
    <w:p w14:paraId="100004AF">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病害输出图例满足相关养护设计规范要求</w:t>
      </w:r>
      <w:r>
        <w:rPr>
          <w:rFonts w:hint="eastAsia" w:ascii="宋体" w:hAnsi="宋体" w:eastAsia="宋体" w:cs="宋体"/>
          <w:lang w:eastAsia="zh-CN"/>
        </w:rPr>
        <w:t>；</w:t>
      </w:r>
    </w:p>
    <w:p w14:paraId="72C43798">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输出格式支持dwg、dxf</w:t>
      </w:r>
      <w:r>
        <w:rPr>
          <w:rFonts w:hint="eastAsia" w:ascii="宋体" w:hAnsi="宋体" w:eastAsia="宋体" w:cs="宋体"/>
          <w:lang w:eastAsia="zh-CN"/>
        </w:rPr>
        <w:t>；</w:t>
      </w:r>
    </w:p>
    <w:p w14:paraId="4E19F923">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各类病害按照不同属性分图层存储</w:t>
      </w:r>
      <w:r>
        <w:rPr>
          <w:rFonts w:hint="eastAsia" w:ascii="宋体" w:hAnsi="宋体" w:eastAsia="宋体" w:cs="宋体"/>
          <w:lang w:eastAsia="zh-CN"/>
        </w:rPr>
        <w:t>。</w:t>
      </w:r>
    </w:p>
    <w:p w14:paraId="262839DF">
      <w:pPr>
        <w:pStyle w:val="4"/>
        <w:bidi w:val="0"/>
        <w:rPr>
          <w:rFonts w:hint="eastAsia"/>
        </w:rPr>
      </w:pPr>
      <w:r>
        <w:rPr>
          <w:rFonts w:hint="eastAsia"/>
          <w:lang w:val="en-US" w:eastAsia="zh-CN"/>
        </w:rPr>
        <w:t>5</w:t>
      </w:r>
      <w:r>
        <w:rPr>
          <w:rFonts w:hint="eastAsia"/>
        </w:rPr>
        <w:t>.</w:t>
      </w:r>
      <w:r>
        <w:rPr>
          <w:rFonts w:hint="eastAsia"/>
          <w:lang w:val="en-US" w:eastAsia="zh-CN"/>
        </w:rPr>
        <w:t>5</w:t>
      </w:r>
      <w:r>
        <w:rPr>
          <w:rFonts w:hint="eastAsia"/>
        </w:rPr>
        <w:t>.3</w:t>
      </w:r>
      <w:r>
        <w:rPr>
          <w:rFonts w:hint="eastAsia"/>
          <w:lang w:val="en-US" w:eastAsia="zh-CN"/>
        </w:rPr>
        <w:t xml:space="preserve"> </w:t>
      </w:r>
      <w:r>
        <w:rPr>
          <w:rFonts w:hint="eastAsia"/>
        </w:rPr>
        <w:t xml:space="preserve"> 路面线形提取</w:t>
      </w:r>
    </w:p>
    <w:p w14:paraId="235801B5">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a）</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采用路面三维点云数据进行路面</w:t>
      </w:r>
      <w:r>
        <w:rPr>
          <w:rFonts w:hint="eastAsia" w:asciiTheme="minorEastAsia" w:hAnsiTheme="minorEastAsia" w:eastAsiaTheme="minorEastAsia" w:cstheme="minorEastAsia"/>
          <w:lang w:val="en-US" w:eastAsia="zh-CN"/>
        </w:rPr>
        <w:t>平</w:t>
      </w:r>
      <w:r>
        <w:rPr>
          <w:rFonts w:hint="eastAsia" w:asciiTheme="minorEastAsia" w:hAnsiTheme="minorEastAsia" w:eastAsiaTheme="minorEastAsia" w:cstheme="minorEastAsia"/>
        </w:rPr>
        <w:t>纵横断面线形</w:t>
      </w:r>
      <w:r>
        <w:rPr>
          <w:rFonts w:hint="eastAsia" w:asciiTheme="minorEastAsia" w:hAnsiTheme="minorEastAsia" w:eastAsiaTheme="minorEastAsia" w:cstheme="minorEastAsia"/>
          <w:lang w:val="en-US" w:eastAsia="zh-CN"/>
        </w:rPr>
        <w:t>参数</w:t>
      </w:r>
      <w:r>
        <w:rPr>
          <w:rFonts w:hint="eastAsia" w:asciiTheme="minorEastAsia" w:hAnsiTheme="minorEastAsia" w:eastAsiaTheme="minorEastAsia" w:cstheme="minorEastAsia"/>
        </w:rPr>
        <w:t>提取。</w:t>
      </w:r>
    </w:p>
    <w:p w14:paraId="26390136">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点云数据中存在脱离路面的异常点、孤立点及由于路面杂物产生的噪声点时，采用滤波方法或人工方式进行降噪处理。</w:t>
      </w:r>
    </w:p>
    <w:p w14:paraId="60EEFDE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路面纵横断面线形数据提取规则如下：</w:t>
      </w:r>
    </w:p>
    <w:p w14:paraId="3EADDF64">
      <w:pPr>
        <w:bidi w:val="0"/>
        <w:ind w:firstLine="840" w:firstLineChars="400"/>
        <w:rPr>
          <w:rFonts w:hint="eastAsia" w:asciiTheme="minorEastAsia" w:hAnsiTheme="minorEastAsia" w:eastAsiaTheme="minorEastAsia" w:cstheme="minorEastAsia"/>
          <w:lang w:eastAsia="zh-CN"/>
        </w:rPr>
      </w:pPr>
      <w:r>
        <w:rPr>
          <w:rFonts w:hint="eastAsia" w:ascii="宋体" w:hAnsi="宋体" w:eastAsia="宋体" w:cs="宋体"/>
          <w:lang w:val="en-US" w:eastAsia="zh-CN"/>
        </w:rPr>
        <w:t xml:space="preserve">•   </w:t>
      </w:r>
      <w:r>
        <w:rPr>
          <w:rFonts w:hint="eastAsia" w:cs="宋体"/>
          <w:lang w:val="en-US" w:eastAsia="zh-CN"/>
        </w:rPr>
        <w:t>选取</w:t>
      </w:r>
      <w:r>
        <w:rPr>
          <w:rFonts w:hint="eastAsia" w:asciiTheme="minorEastAsia" w:hAnsiTheme="minorEastAsia" w:eastAsiaTheme="minorEastAsia" w:cstheme="minorEastAsia"/>
        </w:rPr>
        <w:t>提取基准线</w:t>
      </w:r>
      <w:r>
        <w:rPr>
          <w:rFonts w:hint="eastAsia" w:asciiTheme="minorEastAsia" w:hAnsiTheme="minorEastAsia" w:eastAsiaTheme="minorEastAsia" w:cstheme="minorEastAsia"/>
          <w:lang w:eastAsia="zh-CN"/>
        </w:rPr>
        <w:t>；</w:t>
      </w:r>
    </w:p>
    <w:p w14:paraId="5351E5D5">
      <w:pPr>
        <w:bidi w:val="0"/>
        <w:ind w:firstLine="840" w:firstLineChars="400"/>
        <w:rPr>
          <w:rFonts w:hint="eastAsia" w:asciiTheme="minorEastAsia" w:hAnsiTheme="minorEastAsia" w:eastAsiaTheme="minorEastAsia" w:cstheme="minorEastAsia"/>
          <w:lang w:eastAsia="zh-CN"/>
        </w:rPr>
      </w:pPr>
      <w:r>
        <w:rPr>
          <w:rFonts w:hint="eastAsia" w:ascii="宋体" w:hAnsi="宋体" w:eastAsia="宋体" w:cs="宋体"/>
          <w:lang w:val="en-US" w:eastAsia="zh-CN"/>
        </w:rPr>
        <w:t xml:space="preserve">•   </w:t>
      </w:r>
      <w:r>
        <w:rPr>
          <w:rFonts w:hint="eastAsia" w:asciiTheme="minorEastAsia" w:hAnsiTheme="minorEastAsia" w:eastAsiaTheme="minorEastAsia" w:cstheme="minorEastAsia"/>
          <w:lang w:val="en-US" w:eastAsia="zh-CN"/>
        </w:rPr>
        <w:t>选取平</w:t>
      </w:r>
      <w:r>
        <w:rPr>
          <w:rFonts w:hint="eastAsia" w:asciiTheme="minorEastAsia" w:hAnsiTheme="minorEastAsia" w:eastAsiaTheme="minorEastAsia" w:cstheme="minorEastAsia"/>
        </w:rPr>
        <w:t>纵横断面提取的间距</w:t>
      </w:r>
      <w:r>
        <w:rPr>
          <w:rFonts w:hint="eastAsia" w:asciiTheme="minorEastAsia" w:hAnsiTheme="minorEastAsia" w:eastAsiaTheme="minorEastAsia" w:cstheme="minorEastAsia"/>
          <w:lang w:eastAsia="zh-CN"/>
        </w:rPr>
        <w:t>；</w:t>
      </w:r>
    </w:p>
    <w:p w14:paraId="5C3530CC">
      <w:pPr>
        <w:bidi w:val="0"/>
        <w:ind w:firstLine="840" w:firstLineChars="400"/>
        <w:rPr>
          <w:rFonts w:hint="eastAsia" w:asciiTheme="minorEastAsia" w:hAnsiTheme="minorEastAsia" w:eastAsiaTheme="minorEastAsia" w:cstheme="minorEastAsia"/>
          <w:lang w:eastAsia="zh-CN"/>
        </w:rPr>
      </w:pPr>
      <w:r>
        <w:rPr>
          <w:rFonts w:hint="eastAsia" w:ascii="宋体" w:hAnsi="宋体" w:eastAsia="宋体" w:cs="宋体"/>
          <w:lang w:val="en-US" w:eastAsia="zh-CN"/>
        </w:rPr>
        <w:t xml:space="preserve">•   </w:t>
      </w:r>
      <w:r>
        <w:rPr>
          <w:rFonts w:hint="eastAsia" w:asciiTheme="minorEastAsia" w:hAnsiTheme="minorEastAsia" w:eastAsiaTheme="minorEastAsia" w:cstheme="minorEastAsia"/>
        </w:rPr>
        <w:t>纵横断面每个点的高程信息提取应根据一定范围的点云数据进行统计计算</w:t>
      </w:r>
      <w:r>
        <w:rPr>
          <w:rFonts w:hint="eastAsia" w:asciiTheme="minorEastAsia" w:hAnsiTheme="minorEastAsia" w:eastAsiaTheme="minorEastAsia" w:cstheme="minorEastAsia"/>
          <w:lang w:eastAsia="zh-CN"/>
        </w:rPr>
        <w:t>；</w:t>
      </w:r>
    </w:p>
    <w:p w14:paraId="60A94E43">
      <w:pPr>
        <w:bidi w:val="0"/>
        <w:ind w:firstLine="840" w:firstLineChars="400"/>
        <w:rPr>
          <w:rFonts w:hint="eastAsia" w:asciiTheme="minorEastAsia" w:hAnsiTheme="minorEastAsia" w:eastAsiaTheme="minorEastAsia" w:cstheme="minorEastAsia"/>
        </w:rPr>
      </w:pPr>
      <w:r>
        <w:rPr>
          <w:rFonts w:hint="eastAsia" w:ascii="宋体" w:hAnsi="宋体" w:eastAsia="宋体" w:cs="宋体"/>
          <w:lang w:val="en-US" w:eastAsia="zh-CN"/>
        </w:rPr>
        <w:t xml:space="preserve">•   </w:t>
      </w:r>
      <w:r>
        <w:rPr>
          <w:rFonts w:hint="eastAsia" w:asciiTheme="minorEastAsia" w:hAnsiTheme="minorEastAsia" w:eastAsiaTheme="minorEastAsia" w:cstheme="minorEastAsia"/>
        </w:rPr>
        <w:t>路面</w:t>
      </w:r>
      <w:r>
        <w:rPr>
          <w:rFonts w:hint="eastAsia" w:asciiTheme="minorEastAsia" w:hAnsiTheme="minorEastAsia" w:eastAsiaTheme="minorEastAsia" w:cstheme="minorEastAsia"/>
          <w:lang w:val="en-US" w:eastAsia="zh-CN"/>
        </w:rPr>
        <w:t>平</w:t>
      </w:r>
      <w:r>
        <w:rPr>
          <w:rFonts w:hint="eastAsia" w:asciiTheme="minorEastAsia" w:hAnsiTheme="minorEastAsia" w:eastAsiaTheme="minorEastAsia" w:cstheme="minorEastAsia"/>
        </w:rPr>
        <w:t>纵横断面数据应</w:t>
      </w:r>
      <w:r>
        <w:rPr>
          <w:rFonts w:hint="eastAsia" w:asciiTheme="minorEastAsia" w:hAnsiTheme="minorEastAsia" w:eastAsiaTheme="minorEastAsia" w:cstheme="minorEastAsia"/>
          <w:lang w:val="en-US" w:eastAsia="zh-CN"/>
        </w:rPr>
        <w:t>满足</w:t>
      </w:r>
      <w:r>
        <w:rPr>
          <w:rFonts w:hint="eastAsia" w:asciiTheme="minorEastAsia" w:hAnsiTheme="minorEastAsia" w:eastAsiaTheme="minorEastAsia" w:cstheme="minorEastAsia"/>
        </w:rPr>
        <w:t>实际项目应用需求。</w:t>
      </w:r>
    </w:p>
    <w:p w14:paraId="59D9FBC2">
      <w:pPr>
        <w:pStyle w:val="3"/>
        <w:bidi w:val="0"/>
        <w:rPr>
          <w:rFonts w:hint="eastAsia"/>
        </w:rPr>
      </w:pPr>
      <w:bookmarkStart w:id="79" w:name="_Toc19408"/>
      <w:r>
        <w:rPr>
          <w:rFonts w:hint="eastAsia"/>
          <w:lang w:val="en-US" w:eastAsia="zh-CN"/>
        </w:rPr>
        <w:t>5</w:t>
      </w:r>
      <w:r>
        <w:rPr>
          <w:rFonts w:hint="eastAsia"/>
        </w:rPr>
        <w:t>.</w:t>
      </w:r>
      <w:r>
        <w:rPr>
          <w:rFonts w:hint="eastAsia"/>
          <w:lang w:val="en-US" w:eastAsia="zh-CN"/>
        </w:rPr>
        <w:t xml:space="preserve">6  </w:t>
      </w:r>
      <w:r>
        <w:rPr>
          <w:rFonts w:hint="eastAsia"/>
        </w:rPr>
        <w:t>成果质量检验</w:t>
      </w:r>
      <w:bookmarkEnd w:id="79"/>
    </w:p>
    <w:p w14:paraId="1944A969">
      <w:pPr>
        <w:pStyle w:val="4"/>
        <w:bidi w:val="0"/>
        <w:rPr>
          <w:rFonts w:hint="eastAsia"/>
        </w:rPr>
      </w:pPr>
      <w:r>
        <w:rPr>
          <w:rFonts w:hint="eastAsia"/>
          <w:lang w:val="en-US" w:eastAsia="zh-CN"/>
        </w:rPr>
        <w:t>5</w:t>
      </w:r>
      <w:r>
        <w:rPr>
          <w:rFonts w:hint="eastAsia"/>
        </w:rPr>
        <w:t>.</w:t>
      </w:r>
      <w:r>
        <w:rPr>
          <w:rFonts w:hint="eastAsia"/>
          <w:lang w:val="en-US" w:eastAsia="zh-CN"/>
        </w:rPr>
        <w:t>6</w:t>
      </w:r>
      <w:r>
        <w:rPr>
          <w:rFonts w:hint="eastAsia"/>
        </w:rPr>
        <w:t>.1</w:t>
      </w:r>
      <w:r>
        <w:rPr>
          <w:rFonts w:hint="eastAsia"/>
          <w:lang w:val="en-US" w:eastAsia="zh-CN"/>
        </w:rPr>
        <w:t xml:space="preserve"> </w:t>
      </w:r>
      <w:r>
        <w:rPr>
          <w:rFonts w:hint="eastAsia"/>
        </w:rPr>
        <w:t xml:space="preserve"> 检验要求</w:t>
      </w:r>
    </w:p>
    <w:p w14:paraId="11055C56">
      <w:pPr>
        <w:bidi w:val="0"/>
        <w:rPr>
          <w:rFonts w:hint="eastAsia"/>
        </w:rPr>
      </w:pPr>
      <w:r>
        <w:rPr>
          <w:rFonts w:hint="eastAsia"/>
        </w:rPr>
        <w:t>对高速公路路面三维多功能数据采集与处理的成果质量检验实行两级检查、一级验收制度，包括过程检查、最终检查和验收检验，各阶段应独立、按序进行，不应省略、代替或颠倒顺序。过程检查由作业部门负责，最终检查由项目承担单位负责，验收检验由项目委托方组织或由第三方检验检测机构负责。</w:t>
      </w:r>
    </w:p>
    <w:p w14:paraId="683561C2">
      <w:pPr>
        <w:pStyle w:val="4"/>
        <w:bidi w:val="0"/>
        <w:rPr>
          <w:rFonts w:hint="eastAsia"/>
        </w:rPr>
      </w:pPr>
      <w:r>
        <w:rPr>
          <w:rFonts w:hint="eastAsia"/>
          <w:lang w:val="en-US" w:eastAsia="zh-CN"/>
        </w:rPr>
        <w:t>5</w:t>
      </w:r>
      <w:r>
        <w:rPr>
          <w:rFonts w:hint="eastAsia"/>
        </w:rPr>
        <w:t>.</w:t>
      </w:r>
      <w:r>
        <w:rPr>
          <w:rFonts w:hint="eastAsia"/>
          <w:lang w:val="en-US" w:eastAsia="zh-CN"/>
        </w:rPr>
        <w:t>6</w:t>
      </w:r>
      <w:r>
        <w:rPr>
          <w:rFonts w:hint="eastAsia"/>
        </w:rPr>
        <w:t>.2</w:t>
      </w:r>
      <w:r>
        <w:rPr>
          <w:rFonts w:hint="eastAsia"/>
          <w:lang w:val="en-US" w:eastAsia="zh-CN"/>
        </w:rPr>
        <w:t xml:space="preserve"> </w:t>
      </w:r>
      <w:r>
        <w:rPr>
          <w:rFonts w:hint="eastAsia"/>
        </w:rPr>
        <w:t xml:space="preserve"> 成果检验主要内容</w:t>
      </w:r>
    </w:p>
    <w:p w14:paraId="58F7E8BD">
      <w:pPr>
        <w:keepNext w:val="0"/>
        <w:keepLines w:val="0"/>
        <w:pageBreakBefore w:val="0"/>
        <w:widowControl w:val="0"/>
        <w:numPr>
          <w:ilvl w:val="0"/>
          <w:numId w:val="8"/>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数据完整性检验：包括各类原始检测数据的完整性。</w:t>
      </w:r>
    </w:p>
    <w:p w14:paraId="477338F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路面及景观图像检验：包括图像清晰度、图像色差等。</w:t>
      </w:r>
    </w:p>
    <w:p w14:paraId="6B18E9B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基站GNSS</w:t>
      </w:r>
      <w:r>
        <w:rPr>
          <w:rFonts w:hint="eastAsia" w:asciiTheme="minorEastAsia" w:hAnsiTheme="minorEastAsia" w:eastAsiaTheme="minorEastAsia" w:cstheme="minorEastAsia"/>
          <w:lang w:val="en-US" w:eastAsia="zh-CN"/>
        </w:rPr>
        <w:t>及</w:t>
      </w:r>
      <w:r>
        <w:rPr>
          <w:rFonts w:hint="eastAsia" w:asciiTheme="minorEastAsia" w:hAnsiTheme="minorEastAsia" w:eastAsiaTheme="minorEastAsia" w:cstheme="minorEastAsia"/>
        </w:rPr>
        <w:t>POS解算数据检验：包括基站坐标、天线高、GNSS差分质量、GNSS差分结果与IMU数据融合解算质量等；</w:t>
      </w:r>
    </w:p>
    <w:p w14:paraId="5116E27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点云数据质量检验：包括数据完整性、点云精度等；</w:t>
      </w:r>
    </w:p>
    <w:p w14:paraId="286E4F19">
      <w:pPr>
        <w:pStyle w:val="3"/>
        <w:bidi w:val="0"/>
        <w:rPr>
          <w:rFonts w:hint="eastAsia"/>
        </w:rPr>
      </w:pPr>
      <w:bookmarkStart w:id="80" w:name="_Toc7780"/>
      <w:r>
        <w:rPr>
          <w:rFonts w:hint="eastAsia"/>
          <w:lang w:val="en-US" w:eastAsia="zh-CN"/>
        </w:rPr>
        <w:t>5</w:t>
      </w:r>
      <w:r>
        <w:rPr>
          <w:rFonts w:hint="eastAsia"/>
        </w:rPr>
        <w:t>.</w:t>
      </w:r>
      <w:r>
        <w:rPr>
          <w:rFonts w:hint="eastAsia"/>
          <w:lang w:val="en-US" w:eastAsia="zh-CN"/>
        </w:rPr>
        <w:t xml:space="preserve">7  </w:t>
      </w:r>
      <w:r>
        <w:rPr>
          <w:rFonts w:hint="eastAsia"/>
        </w:rPr>
        <w:t>成果提交</w:t>
      </w:r>
      <w:bookmarkEnd w:id="80"/>
    </w:p>
    <w:p w14:paraId="4B6A3B59">
      <w:pPr>
        <w:pStyle w:val="4"/>
        <w:bidi w:val="0"/>
        <w:rPr>
          <w:rFonts w:hint="eastAsia"/>
        </w:rPr>
      </w:pPr>
      <w:r>
        <w:rPr>
          <w:rFonts w:hint="eastAsia"/>
          <w:lang w:val="en-US" w:eastAsia="zh-CN"/>
        </w:rPr>
        <w:t>5</w:t>
      </w:r>
      <w:r>
        <w:rPr>
          <w:rFonts w:hint="eastAsia"/>
        </w:rPr>
        <w:t>.</w:t>
      </w:r>
      <w:r>
        <w:rPr>
          <w:rFonts w:hint="eastAsia"/>
          <w:lang w:val="en-US" w:eastAsia="zh-CN"/>
        </w:rPr>
        <w:t>7</w:t>
      </w:r>
      <w:r>
        <w:rPr>
          <w:rFonts w:hint="eastAsia"/>
        </w:rPr>
        <w:t xml:space="preserve">.1 </w:t>
      </w:r>
      <w:r>
        <w:rPr>
          <w:rFonts w:hint="eastAsia"/>
          <w:lang w:val="en-US" w:eastAsia="zh-CN"/>
        </w:rPr>
        <w:t>检测</w:t>
      </w:r>
      <w:r>
        <w:rPr>
          <w:rFonts w:hint="eastAsia"/>
        </w:rPr>
        <w:t>成果应满足下列要求：</w:t>
      </w:r>
    </w:p>
    <w:p w14:paraId="69F6521E">
      <w:pPr>
        <w:numPr>
          <w:ilvl w:val="0"/>
          <w:numId w:val="0"/>
        </w:numPr>
        <w:bidi w:val="0"/>
        <w:ind w:firstLine="420" w:firstLineChars="200"/>
        <w:rPr>
          <w:rFonts w:hint="eastAsia" w:asciiTheme="minorEastAsia" w:hAnsiTheme="minorEastAsia" w:eastAsiaTheme="minorEastAsia" w:cstheme="minorEastAsia"/>
        </w:rPr>
      </w:pPr>
      <w:r>
        <w:rPr>
          <w:rFonts w:hint="eastAsia" w:ascii="宋体" w:hAnsi="宋体" w:eastAsia="宋体" w:cs="Times New Roman"/>
          <w:kern w:val="2"/>
          <w:sz w:val="21"/>
          <w:szCs w:val="24"/>
          <w:lang w:val="en-US" w:eastAsia="zh-CN" w:bidi="ar-SA"/>
        </w:rPr>
        <w:t xml:space="preserve">a） </w:t>
      </w:r>
      <w:r>
        <w:rPr>
          <w:rFonts w:hint="eastAsia" w:asciiTheme="minorEastAsia" w:hAnsiTheme="minorEastAsia" w:eastAsiaTheme="minorEastAsia" w:cstheme="minorEastAsia"/>
          <w:lang w:val="en-US" w:eastAsia="zh-CN"/>
        </w:rPr>
        <w:t>各项作业记录、技术资料和成果数据完整；</w:t>
      </w:r>
    </w:p>
    <w:p w14:paraId="4EDD8D72">
      <w:pPr>
        <w:numPr>
          <w:ilvl w:val="0"/>
          <w:numId w:val="0"/>
        </w:num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各</w:t>
      </w:r>
      <w:r>
        <w:rPr>
          <w:rFonts w:hint="eastAsia" w:asciiTheme="minorEastAsia" w:hAnsiTheme="minorEastAsia" w:eastAsiaTheme="minorEastAsia" w:cstheme="minorEastAsia"/>
        </w:rPr>
        <w:t>项技术文档内容齐全、完整、真实、准确；</w:t>
      </w:r>
    </w:p>
    <w:p w14:paraId="37ADD954">
      <w:pPr>
        <w:numPr>
          <w:ilvl w:val="0"/>
          <w:numId w:val="0"/>
        </w:num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c</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成果经检验合格。</w:t>
      </w:r>
    </w:p>
    <w:p w14:paraId="2F87CE0D">
      <w:pPr>
        <w:pStyle w:val="4"/>
        <w:bidi w:val="0"/>
        <w:rPr>
          <w:rFonts w:hint="eastAsia" w:eastAsia="黑体"/>
          <w:lang w:eastAsia="zh-CN"/>
        </w:rPr>
      </w:pPr>
      <w:r>
        <w:rPr>
          <w:rFonts w:hint="eastAsia"/>
          <w:lang w:val="en-US" w:eastAsia="zh-CN"/>
        </w:rPr>
        <w:t>5</w:t>
      </w:r>
      <w:r>
        <w:rPr>
          <w:rFonts w:hint="eastAsia"/>
        </w:rPr>
        <w:t>.</w:t>
      </w:r>
      <w:r>
        <w:rPr>
          <w:rFonts w:hint="eastAsia"/>
          <w:lang w:val="en-US" w:eastAsia="zh-CN"/>
        </w:rPr>
        <w:t>7</w:t>
      </w:r>
      <w:r>
        <w:rPr>
          <w:rFonts w:hint="eastAsia"/>
        </w:rPr>
        <w:t xml:space="preserve">.2 </w:t>
      </w:r>
      <w:r>
        <w:rPr>
          <w:rFonts w:hint="eastAsia"/>
          <w:lang w:val="en-US" w:eastAsia="zh-CN"/>
        </w:rPr>
        <w:t xml:space="preserve"> </w:t>
      </w:r>
      <w:r>
        <w:rPr>
          <w:rFonts w:hint="eastAsia"/>
        </w:rPr>
        <w:t>根据</w:t>
      </w:r>
      <w:r>
        <w:rPr>
          <w:rFonts w:hint="eastAsia"/>
          <w:lang w:val="en-US" w:eastAsia="zh-CN"/>
        </w:rPr>
        <w:t>检测方案</w:t>
      </w:r>
      <w:r>
        <w:rPr>
          <w:rFonts w:hint="eastAsia"/>
        </w:rPr>
        <w:t>要求提交检查验收的成果资料</w:t>
      </w:r>
      <w:r>
        <w:rPr>
          <w:rFonts w:hint="eastAsia"/>
          <w:lang w:eastAsia="zh-CN"/>
        </w:rPr>
        <w:t>。</w:t>
      </w:r>
    </w:p>
    <w:p w14:paraId="711F09E2">
      <w:pPr>
        <w:numPr>
          <w:ilvl w:val="0"/>
          <w:numId w:val="9"/>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成果清单；</w:t>
      </w:r>
    </w:p>
    <w:p w14:paraId="5BE02BC5">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路面技术状况检测成果报表；</w:t>
      </w:r>
    </w:p>
    <w:p w14:paraId="717E03C2">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路面点云成果；</w:t>
      </w:r>
    </w:p>
    <w:p w14:paraId="6049170B">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路面病害平面及矢量病害分布图；</w:t>
      </w:r>
    </w:p>
    <w:p w14:paraId="3D8C9ACB">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w:t>
      </w:r>
      <w:r>
        <w:rPr>
          <w:rFonts w:hint="eastAsia" w:asciiTheme="minorEastAsia" w:hAnsiTheme="minorEastAsia" w:eastAsiaTheme="minorEastAsia" w:cstheme="minorEastAsia"/>
          <w:lang w:val="en-US" w:eastAsia="zh-CN"/>
        </w:rPr>
        <w:t>平</w:t>
      </w:r>
      <w:r>
        <w:rPr>
          <w:rFonts w:hint="eastAsia" w:asciiTheme="minorEastAsia" w:hAnsiTheme="minorEastAsia" w:eastAsiaTheme="minorEastAsia" w:cstheme="minorEastAsia"/>
        </w:rPr>
        <w:t>纵横断面线形</w:t>
      </w:r>
      <w:r>
        <w:rPr>
          <w:rFonts w:hint="eastAsia" w:asciiTheme="minorEastAsia" w:hAnsiTheme="minorEastAsia" w:eastAsiaTheme="minorEastAsia" w:cstheme="minorEastAsia"/>
          <w:lang w:val="en-US" w:eastAsia="zh-CN"/>
        </w:rPr>
        <w:t>成果</w:t>
      </w:r>
      <w:r>
        <w:rPr>
          <w:rFonts w:hint="eastAsia" w:asciiTheme="minorEastAsia" w:hAnsiTheme="minorEastAsia" w:eastAsiaTheme="minorEastAsia" w:cstheme="minorEastAsia"/>
        </w:rPr>
        <w:t>；</w:t>
      </w:r>
    </w:p>
    <w:p w14:paraId="6E9A635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f）</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技术总结；</w:t>
      </w:r>
    </w:p>
    <w:p w14:paraId="38F1FE9D">
      <w:pPr>
        <w:bidi w:val="0"/>
        <w:rPr>
          <w:rFonts w:hint="eastAsia"/>
        </w:rPr>
      </w:pPr>
      <w:r>
        <w:rPr>
          <w:rFonts w:hint="eastAsia" w:asciiTheme="minorEastAsia" w:hAnsiTheme="minorEastAsia" w:eastAsiaTheme="minorEastAsia" w:cstheme="minorEastAsia"/>
          <w:lang w:val="en-US" w:eastAsia="zh-CN"/>
        </w:rPr>
        <w:t>g</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质量检验。</w:t>
      </w:r>
    </w:p>
    <w:p w14:paraId="16FE3624">
      <w:pPr>
        <w:pStyle w:val="2"/>
        <w:bidi w:val="0"/>
        <w:rPr>
          <w:rFonts w:hint="eastAsia"/>
        </w:rPr>
      </w:pPr>
      <w:bookmarkStart w:id="81" w:name="_Toc27476"/>
      <w:r>
        <w:rPr>
          <w:rFonts w:hint="eastAsia"/>
          <w:lang w:val="en-US" w:eastAsia="zh-CN"/>
        </w:rPr>
        <w:t>6  路基路面隐伏病害快速精准</w:t>
      </w:r>
      <w:r>
        <w:rPr>
          <w:rFonts w:hint="eastAsia"/>
        </w:rPr>
        <w:t>检测</w:t>
      </w:r>
      <w:bookmarkEnd w:id="72"/>
      <w:bookmarkEnd w:id="73"/>
      <w:bookmarkEnd w:id="74"/>
      <w:bookmarkEnd w:id="81"/>
    </w:p>
    <w:p w14:paraId="33EB18C7">
      <w:pPr>
        <w:rPr>
          <w:rFonts w:hint="eastAsia"/>
        </w:rPr>
      </w:pPr>
      <w:r>
        <w:rPr>
          <w:rFonts w:hint="eastAsia"/>
          <w:lang w:val="en-US" w:eastAsia="zh-CN"/>
        </w:rPr>
        <w:t>坐标定位应以</w:t>
      </w:r>
      <w:r>
        <w:rPr>
          <w:rFonts w:hint="eastAsia"/>
        </w:rPr>
        <w:t>GNSS</w:t>
      </w:r>
      <w:r>
        <w:rPr>
          <w:rFonts w:hint="eastAsia"/>
          <w:lang w:val="en-US" w:eastAsia="zh-CN"/>
        </w:rPr>
        <w:t>和编码器为主</w:t>
      </w:r>
      <w:r>
        <w:rPr>
          <w:rFonts w:hint="eastAsia"/>
        </w:rPr>
        <w:t>，</w:t>
      </w:r>
      <w:r>
        <w:rPr>
          <w:rFonts w:hint="eastAsia"/>
          <w:lang w:val="en-US" w:eastAsia="zh-CN"/>
        </w:rPr>
        <w:t>辅助以参照物打标</w:t>
      </w:r>
      <w:r>
        <w:rPr>
          <w:rFonts w:hint="eastAsia"/>
        </w:rPr>
        <w:t>。</w:t>
      </w:r>
    </w:p>
    <w:p w14:paraId="5DB153C8">
      <w:pPr>
        <w:rPr>
          <w:rFonts w:hint="eastAsia"/>
        </w:rPr>
      </w:pPr>
    </w:p>
    <w:p w14:paraId="0C4B04E3">
      <w:pPr>
        <w:pStyle w:val="3"/>
        <w:bidi w:val="0"/>
        <w:rPr>
          <w:rFonts w:hint="default"/>
          <w:sz w:val="21"/>
          <w:szCs w:val="21"/>
          <w:lang w:val="en-US" w:eastAsia="zh-CN"/>
        </w:rPr>
      </w:pPr>
      <w:bookmarkStart w:id="82" w:name="_Toc91794750"/>
      <w:bookmarkStart w:id="83" w:name="_Toc26980"/>
      <w:r>
        <w:rPr>
          <w:rFonts w:hint="eastAsia"/>
          <w:sz w:val="21"/>
          <w:szCs w:val="21"/>
          <w:lang w:val="en-US" w:eastAsia="zh-CN"/>
        </w:rPr>
        <w:t>6.1三维探地雷达仪器设备组成和功能</w:t>
      </w:r>
    </w:p>
    <w:bookmarkEnd w:id="82"/>
    <w:p w14:paraId="461C1D59">
      <w:pPr>
        <w:bidi w:val="0"/>
        <w:rPr>
          <w:rFonts w:hint="eastAsia"/>
          <w:lang w:val="en-US" w:eastAsia="zh-CN"/>
        </w:rPr>
      </w:pPr>
      <w:r>
        <w:rPr>
          <w:rFonts w:hint="eastAsia"/>
          <w:lang w:val="en-US" w:eastAsia="zh-CN"/>
        </w:rPr>
        <w:t>检测系统包括探地雷达主机、阵列天线、采集触发装置、定位测量装置、采集控制软件、数据处理软件等。</w:t>
      </w:r>
    </w:p>
    <w:p w14:paraId="02AD512B">
      <w:pPr>
        <w:bidi w:val="0"/>
        <w:rPr>
          <w:rFonts w:hint="eastAsia"/>
          <w:lang w:val="en-US" w:eastAsia="zh-CN"/>
        </w:rPr>
      </w:pPr>
      <w:r>
        <w:rPr>
          <w:rFonts w:hint="eastAsia"/>
          <w:lang w:val="en-US" w:eastAsia="zh-CN"/>
        </w:rPr>
        <w:t>高精度定位设备应快速实时为检测系统提供目标、雷达和运载平台的空间位置及运行轨迹信息。</w:t>
      </w:r>
    </w:p>
    <w:p w14:paraId="7AE54B01">
      <w:pPr>
        <w:bidi w:val="0"/>
        <w:rPr>
          <w:rFonts w:hint="eastAsia"/>
          <w:lang w:val="en-US" w:eastAsia="zh-CN"/>
        </w:rPr>
      </w:pPr>
      <w:r>
        <w:rPr>
          <w:rFonts w:hint="eastAsia"/>
          <w:lang w:val="en-US" w:eastAsia="zh-CN"/>
        </w:rPr>
        <w:t>数据采集软件应实现雷达数据、定位数据以及环境影像数据的实时采集、存储与显示。</w:t>
      </w:r>
    </w:p>
    <w:p w14:paraId="57508A33">
      <w:pPr>
        <w:bidi w:val="0"/>
        <w:rPr>
          <w:rFonts w:hint="eastAsia"/>
          <w:lang w:val="en-US" w:eastAsia="zh-CN"/>
        </w:rPr>
      </w:pPr>
      <w:r>
        <w:rPr>
          <w:rFonts w:hint="eastAsia"/>
          <w:lang w:val="en-US" w:eastAsia="zh-CN"/>
        </w:rPr>
        <w:t>数据处理与解释软件应实现对雷达数据和定位数据的处理，识别高速公路路面隐伏病害。</w:t>
      </w:r>
    </w:p>
    <w:p w14:paraId="3FE8F1D3">
      <w:pPr>
        <w:pStyle w:val="3"/>
        <w:bidi w:val="0"/>
        <w:rPr>
          <w:rFonts w:hint="eastAsia"/>
          <w:sz w:val="21"/>
          <w:szCs w:val="21"/>
          <w:lang w:val="en-US" w:eastAsia="zh-CN"/>
        </w:rPr>
      </w:pPr>
      <w:bookmarkStart w:id="84" w:name="_Toc91794751"/>
      <w:r>
        <w:rPr>
          <w:rFonts w:hint="eastAsia"/>
          <w:sz w:val="21"/>
          <w:szCs w:val="21"/>
          <w:lang w:val="en-US" w:eastAsia="zh-CN"/>
        </w:rPr>
        <w:t>6.2 系统</w:t>
      </w:r>
      <w:bookmarkEnd w:id="84"/>
      <w:r>
        <w:rPr>
          <w:rFonts w:hint="eastAsia"/>
          <w:sz w:val="21"/>
          <w:szCs w:val="21"/>
          <w:lang w:val="en-US" w:eastAsia="zh-CN"/>
        </w:rPr>
        <w:t>性能</w:t>
      </w:r>
    </w:p>
    <w:p w14:paraId="4BD01343">
      <w:pPr>
        <w:pStyle w:val="4"/>
        <w:bidi w:val="0"/>
        <w:rPr>
          <w:rFonts w:hint="eastAsia"/>
          <w:lang w:val="en-US" w:eastAsia="zh-CN"/>
        </w:rPr>
      </w:pPr>
      <w:r>
        <w:rPr>
          <w:rFonts w:hint="eastAsia"/>
          <w:lang w:val="en-US" w:eastAsia="zh-CN"/>
        </w:rPr>
        <w:t>6.2.1 三维探地雷达设备性能应满足表6.2.1要求。</w:t>
      </w:r>
    </w:p>
    <w:p w14:paraId="53803303">
      <w:pPr>
        <w:pStyle w:val="24"/>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b/>
          <w:color w:val="000000"/>
          <w:sz w:val="21"/>
          <w:szCs w:val="24"/>
        </w:rPr>
      </w:pPr>
      <w:bookmarkStart w:id="85" w:name="_Toc91794752"/>
      <w:r>
        <w:rPr>
          <w:rFonts w:hint="eastAsia" w:ascii="黑体" w:hAnsi="黑体" w:eastAsia="黑体" w:cs="黑体"/>
          <w:b/>
          <w:color w:val="000000"/>
          <w:sz w:val="21"/>
          <w:lang w:val="en-US" w:eastAsia="zh-CN"/>
        </w:rPr>
        <w:t xml:space="preserve">表6.2.1 </w:t>
      </w:r>
      <w:r>
        <w:rPr>
          <w:rFonts w:hint="eastAsia" w:ascii="黑体" w:hAnsi="黑体" w:eastAsia="黑体" w:cs="黑体"/>
          <w:b/>
          <w:color w:val="000000"/>
          <w:sz w:val="21"/>
          <w:szCs w:val="24"/>
        </w:rPr>
        <w:t>三维探地雷达系统性能指标</w:t>
      </w:r>
    </w:p>
    <w:tbl>
      <w:tblPr>
        <w:tblStyle w:val="28"/>
        <w:tblW w:w="517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68"/>
        <w:gridCol w:w="3113"/>
        <w:gridCol w:w="2713"/>
        <w:gridCol w:w="1592"/>
        <w:gridCol w:w="1529"/>
      </w:tblGrid>
      <w:tr w14:paraId="3F6652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blHeader/>
          <w:jc w:val="center"/>
        </w:trPr>
        <w:tc>
          <w:tcPr>
            <w:tcW w:w="395" w:type="pct"/>
            <w:tcBorders>
              <w:tl2br w:val="nil"/>
              <w:tr2bl w:val="nil"/>
            </w:tcBorders>
            <w:vAlign w:val="center"/>
          </w:tcPr>
          <w:p w14:paraId="6A3C735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1602" w:type="pct"/>
            <w:tcBorders>
              <w:tl2br w:val="nil"/>
              <w:tr2bl w:val="nil"/>
            </w:tcBorders>
            <w:vAlign w:val="center"/>
          </w:tcPr>
          <w:p w14:paraId="3D1EC335">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w:t>
            </w:r>
          </w:p>
        </w:tc>
        <w:tc>
          <w:tcPr>
            <w:tcW w:w="3002" w:type="pct"/>
            <w:gridSpan w:val="3"/>
            <w:tcBorders>
              <w:tl2br w:val="nil"/>
              <w:tr2bl w:val="nil"/>
            </w:tcBorders>
            <w:vAlign w:val="center"/>
          </w:tcPr>
          <w:p w14:paraId="1AFA2805">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要求</w:t>
            </w:r>
          </w:p>
        </w:tc>
      </w:tr>
      <w:tr w14:paraId="6C4A09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149B9F92">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1</w:t>
            </w:r>
          </w:p>
        </w:tc>
        <w:tc>
          <w:tcPr>
            <w:tcW w:w="1602" w:type="pct"/>
            <w:tcBorders>
              <w:tl2br w:val="nil"/>
              <w:tr2bl w:val="nil"/>
            </w:tcBorders>
            <w:vAlign w:val="center"/>
          </w:tcPr>
          <w:p w14:paraId="21672772">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天线主频（MHz）</w:t>
            </w:r>
          </w:p>
        </w:tc>
        <w:tc>
          <w:tcPr>
            <w:tcW w:w="3002" w:type="pct"/>
            <w:gridSpan w:val="3"/>
            <w:tcBorders>
              <w:tl2br w:val="nil"/>
              <w:tr2bl w:val="nil"/>
            </w:tcBorders>
            <w:vAlign w:val="center"/>
          </w:tcPr>
          <w:p w14:paraId="6F816B33">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60</w:t>
            </w:r>
            <w:r>
              <w:rPr>
                <w:rFonts w:hint="eastAsia" w:asciiTheme="minorEastAsia" w:hAnsiTheme="minorEastAsia" w:eastAsiaTheme="minorEastAsia" w:cstheme="minorEastAsia"/>
                <w:sz w:val="18"/>
                <w:szCs w:val="18"/>
              </w:rPr>
              <w:t>0</w:t>
            </w:r>
          </w:p>
        </w:tc>
      </w:tr>
      <w:tr w14:paraId="549D1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797A76DD">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2</w:t>
            </w:r>
          </w:p>
        </w:tc>
        <w:tc>
          <w:tcPr>
            <w:tcW w:w="1602" w:type="pct"/>
            <w:tcBorders>
              <w:tl2br w:val="nil"/>
              <w:tr2bl w:val="nil"/>
            </w:tcBorders>
            <w:shd w:val="clear" w:color="auto" w:fill="auto"/>
            <w:vAlign w:val="center"/>
          </w:tcPr>
          <w:p w14:paraId="55C4CFF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通道数</w:t>
            </w:r>
          </w:p>
        </w:tc>
        <w:tc>
          <w:tcPr>
            <w:tcW w:w="3002" w:type="pct"/>
            <w:gridSpan w:val="3"/>
            <w:tcBorders>
              <w:tl2br w:val="nil"/>
              <w:tr2bl w:val="nil"/>
            </w:tcBorders>
            <w:shd w:val="clear" w:color="auto" w:fill="auto"/>
            <w:vAlign w:val="center"/>
          </w:tcPr>
          <w:p w14:paraId="7A246656">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20</w:t>
            </w:r>
          </w:p>
        </w:tc>
      </w:tr>
      <w:tr w14:paraId="542280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18597F2A">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1602" w:type="pct"/>
            <w:tcBorders>
              <w:tl2br w:val="nil"/>
              <w:tr2bl w:val="nil"/>
            </w:tcBorders>
            <w:shd w:val="clear" w:color="auto" w:fill="auto"/>
            <w:vAlign w:val="center"/>
          </w:tcPr>
          <w:p w14:paraId="48DBB6B0">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通道间距</w:t>
            </w:r>
            <w:r>
              <w:rPr>
                <w:rFonts w:hint="eastAsia" w:asciiTheme="minorEastAsia" w:hAnsiTheme="minorEastAsia" w:eastAsiaTheme="minorEastAsia" w:cstheme="minorEastAsia"/>
                <w:sz w:val="18"/>
                <w:szCs w:val="18"/>
              </w:rPr>
              <w:t>（cm）</w:t>
            </w:r>
          </w:p>
        </w:tc>
        <w:tc>
          <w:tcPr>
            <w:tcW w:w="3002" w:type="pct"/>
            <w:gridSpan w:val="3"/>
            <w:tcBorders>
              <w:tl2br w:val="nil"/>
              <w:tr2bl w:val="nil"/>
            </w:tcBorders>
            <w:shd w:val="clear" w:color="auto" w:fill="auto"/>
            <w:vAlign w:val="center"/>
          </w:tcPr>
          <w:p w14:paraId="4742D38F">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10</w:t>
            </w:r>
          </w:p>
        </w:tc>
      </w:tr>
      <w:tr w14:paraId="0172EE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0FF8936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4</w:t>
            </w:r>
          </w:p>
        </w:tc>
        <w:tc>
          <w:tcPr>
            <w:tcW w:w="1602" w:type="pct"/>
            <w:tcBorders>
              <w:tl2br w:val="nil"/>
              <w:tr2bl w:val="nil"/>
            </w:tcBorders>
            <w:vAlign w:val="center"/>
          </w:tcPr>
          <w:p w14:paraId="74DF4329">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采样方式</w:t>
            </w:r>
          </w:p>
        </w:tc>
        <w:tc>
          <w:tcPr>
            <w:tcW w:w="3002" w:type="pct"/>
            <w:gridSpan w:val="3"/>
            <w:tcBorders>
              <w:tl2br w:val="nil"/>
              <w:tr2bl w:val="nil"/>
            </w:tcBorders>
            <w:vAlign w:val="center"/>
          </w:tcPr>
          <w:p w14:paraId="0138EF21">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实时采样</w:t>
            </w:r>
          </w:p>
        </w:tc>
      </w:tr>
      <w:tr w14:paraId="77276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35C8453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5</w:t>
            </w:r>
          </w:p>
        </w:tc>
        <w:tc>
          <w:tcPr>
            <w:tcW w:w="1602" w:type="pct"/>
            <w:tcBorders>
              <w:tl2br w:val="nil"/>
              <w:tr2bl w:val="nil"/>
            </w:tcBorders>
            <w:vAlign w:val="center"/>
          </w:tcPr>
          <w:p w14:paraId="644EA13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采样点数</w:t>
            </w:r>
          </w:p>
        </w:tc>
        <w:tc>
          <w:tcPr>
            <w:tcW w:w="3002" w:type="pct"/>
            <w:gridSpan w:val="3"/>
            <w:tcBorders>
              <w:tl2br w:val="nil"/>
              <w:tr2bl w:val="nil"/>
            </w:tcBorders>
            <w:vAlign w:val="center"/>
          </w:tcPr>
          <w:p w14:paraId="53514D6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≥256</w:t>
            </w:r>
          </w:p>
        </w:tc>
      </w:tr>
      <w:tr w14:paraId="44C5A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70E47FF7">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6</w:t>
            </w:r>
          </w:p>
        </w:tc>
        <w:tc>
          <w:tcPr>
            <w:tcW w:w="1602" w:type="pct"/>
            <w:tcBorders>
              <w:tl2br w:val="nil"/>
              <w:tr2bl w:val="nil"/>
            </w:tcBorders>
            <w:vAlign w:val="center"/>
          </w:tcPr>
          <w:p w14:paraId="4064B8E4">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检测速度（km/h）</w:t>
            </w:r>
          </w:p>
        </w:tc>
        <w:tc>
          <w:tcPr>
            <w:tcW w:w="3002" w:type="pct"/>
            <w:gridSpan w:val="3"/>
            <w:tcBorders>
              <w:tl2br w:val="nil"/>
              <w:tr2bl w:val="nil"/>
            </w:tcBorders>
            <w:vAlign w:val="center"/>
          </w:tcPr>
          <w:p w14:paraId="0C30852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≥80</w:t>
            </w:r>
          </w:p>
        </w:tc>
      </w:tr>
      <w:tr w14:paraId="5342E6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4EC1D6A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lang w:val="en-US" w:eastAsia="zh-CN"/>
              </w:rPr>
              <w:t>7</w:t>
            </w:r>
          </w:p>
        </w:tc>
        <w:tc>
          <w:tcPr>
            <w:tcW w:w="1602" w:type="pct"/>
            <w:tcBorders>
              <w:tl2br w:val="nil"/>
              <w:tr2bl w:val="nil"/>
            </w:tcBorders>
            <w:vAlign w:val="center"/>
          </w:tcPr>
          <w:p w14:paraId="29464F60">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纵向</w:t>
            </w:r>
            <w:r>
              <w:rPr>
                <w:rFonts w:hint="eastAsia" w:asciiTheme="minorEastAsia" w:hAnsiTheme="minorEastAsia" w:eastAsiaTheme="minorEastAsia" w:cstheme="minorEastAsia"/>
                <w:sz w:val="18"/>
                <w:szCs w:val="18"/>
              </w:rPr>
              <w:t>采样间隔（cm）</w:t>
            </w:r>
          </w:p>
        </w:tc>
        <w:tc>
          <w:tcPr>
            <w:tcW w:w="3002" w:type="pct"/>
            <w:gridSpan w:val="3"/>
            <w:tcBorders>
              <w:tl2br w:val="nil"/>
              <w:tr2bl w:val="nil"/>
            </w:tcBorders>
            <w:vAlign w:val="center"/>
          </w:tcPr>
          <w:p w14:paraId="5AB722E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w:t>
            </w:r>
          </w:p>
        </w:tc>
      </w:tr>
      <w:tr w14:paraId="278A9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275313F3">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lang w:val="en-US" w:eastAsia="zh-CN"/>
              </w:rPr>
              <w:t>8</w:t>
            </w:r>
          </w:p>
        </w:tc>
        <w:tc>
          <w:tcPr>
            <w:tcW w:w="1602" w:type="pct"/>
            <w:tcBorders>
              <w:tl2br w:val="nil"/>
              <w:tr2bl w:val="nil"/>
            </w:tcBorders>
            <w:vAlign w:val="center"/>
          </w:tcPr>
          <w:p w14:paraId="4C8782F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幅宽</w:t>
            </w:r>
            <w:r>
              <w:rPr>
                <w:rFonts w:hint="eastAsia" w:asciiTheme="minorEastAsia" w:hAnsiTheme="minorEastAsia" w:eastAsiaTheme="minorEastAsia" w:cstheme="minorEastAsia"/>
                <w:sz w:val="18"/>
                <w:szCs w:val="18"/>
              </w:rPr>
              <w:t>（m）</w:t>
            </w:r>
          </w:p>
        </w:tc>
        <w:tc>
          <w:tcPr>
            <w:tcW w:w="3002" w:type="pct"/>
            <w:gridSpan w:val="3"/>
            <w:tcBorders>
              <w:tl2br w:val="nil"/>
              <w:tr2bl w:val="nil"/>
            </w:tcBorders>
            <w:vAlign w:val="center"/>
          </w:tcPr>
          <w:p w14:paraId="61488B8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lang w:val="en-US" w:eastAsia="zh-CN"/>
              </w:rPr>
              <w:t>2</w:t>
            </w:r>
          </w:p>
        </w:tc>
      </w:tr>
      <w:tr w14:paraId="5E4051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01A1D5F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w:t>
            </w:r>
          </w:p>
        </w:tc>
        <w:tc>
          <w:tcPr>
            <w:tcW w:w="1602" w:type="pct"/>
            <w:tcBorders>
              <w:tl2br w:val="nil"/>
              <w:tr2bl w:val="nil"/>
            </w:tcBorders>
            <w:vAlign w:val="center"/>
          </w:tcPr>
          <w:p w14:paraId="5C5EBEA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探测深度（m）</w:t>
            </w:r>
          </w:p>
        </w:tc>
        <w:tc>
          <w:tcPr>
            <w:tcW w:w="3002" w:type="pct"/>
            <w:gridSpan w:val="3"/>
            <w:tcBorders>
              <w:tl2br w:val="nil"/>
              <w:tr2bl w:val="nil"/>
            </w:tcBorders>
            <w:vAlign w:val="center"/>
          </w:tcPr>
          <w:p w14:paraId="5FF63B96">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≥0.8</w:t>
            </w:r>
          </w:p>
        </w:tc>
      </w:tr>
      <w:tr w14:paraId="14D199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395" w:type="pct"/>
            <w:tcBorders>
              <w:tl2br w:val="nil"/>
              <w:tr2bl w:val="nil"/>
            </w:tcBorders>
            <w:shd w:val="clear" w:color="auto" w:fill="auto"/>
            <w:vAlign w:val="center"/>
          </w:tcPr>
          <w:p w14:paraId="1664BD8D">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w:t>
            </w:r>
          </w:p>
        </w:tc>
        <w:tc>
          <w:tcPr>
            <w:tcW w:w="1602" w:type="pct"/>
            <w:tcBorders>
              <w:tl2br w:val="nil"/>
              <w:tr2bl w:val="nil"/>
            </w:tcBorders>
            <w:vAlign w:val="center"/>
          </w:tcPr>
          <w:p w14:paraId="4C6ED371">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空气中波速测量</w:t>
            </w:r>
          </w:p>
          <w:p w14:paraId="6A234C8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相对误差（%）</w:t>
            </w:r>
          </w:p>
        </w:tc>
        <w:tc>
          <w:tcPr>
            <w:tcW w:w="2215" w:type="pct"/>
            <w:gridSpan w:val="2"/>
            <w:tcBorders>
              <w:tl2br w:val="nil"/>
              <w:tr2bl w:val="nil"/>
            </w:tcBorders>
            <w:vAlign w:val="center"/>
          </w:tcPr>
          <w:p w14:paraId="4CD06941">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w:t>
            </w:r>
          </w:p>
        </w:tc>
        <w:tc>
          <w:tcPr>
            <w:tcW w:w="786" w:type="pct"/>
            <w:vMerge w:val="restart"/>
            <w:tcBorders>
              <w:tl2br w:val="nil"/>
              <w:tr2bl w:val="nil"/>
            </w:tcBorders>
            <w:vAlign w:val="center"/>
          </w:tcPr>
          <w:p w14:paraId="376DDCA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符合JJG(交</w:t>
            </w:r>
          </w:p>
          <w:p w14:paraId="6BCE9DA3">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通) 124规</w:t>
            </w:r>
          </w:p>
          <w:p w14:paraId="098E302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定</w:t>
            </w:r>
          </w:p>
        </w:tc>
      </w:tr>
      <w:tr w14:paraId="4123E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vMerge w:val="restart"/>
            <w:tcBorders>
              <w:tl2br w:val="nil"/>
              <w:tr2bl w:val="nil"/>
            </w:tcBorders>
            <w:vAlign w:val="center"/>
          </w:tcPr>
          <w:p w14:paraId="412F58CC">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w:t>
            </w:r>
          </w:p>
        </w:tc>
        <w:tc>
          <w:tcPr>
            <w:tcW w:w="1602" w:type="pct"/>
            <w:vMerge w:val="restart"/>
            <w:tcBorders>
              <w:tl2br w:val="nil"/>
              <w:tr2bl w:val="nil"/>
            </w:tcBorders>
            <w:vAlign w:val="center"/>
          </w:tcPr>
          <w:p w14:paraId="3D39DAF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厚度测量误差</w:t>
            </w:r>
          </w:p>
        </w:tc>
        <w:tc>
          <w:tcPr>
            <w:tcW w:w="1396" w:type="pct"/>
            <w:tcBorders>
              <w:tl2br w:val="nil"/>
              <w:tr2bl w:val="nil"/>
            </w:tcBorders>
            <w:vAlign w:val="center"/>
          </w:tcPr>
          <w:p w14:paraId="73F295B6">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厚度≤10cm时，mm</w:t>
            </w:r>
          </w:p>
        </w:tc>
        <w:tc>
          <w:tcPr>
            <w:tcW w:w="819" w:type="pct"/>
            <w:tcBorders>
              <w:tl2br w:val="nil"/>
              <w:tr2bl w:val="nil"/>
            </w:tcBorders>
            <w:vAlign w:val="center"/>
          </w:tcPr>
          <w:p w14:paraId="5C5D48E6">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10.0</w:t>
            </w:r>
          </w:p>
        </w:tc>
        <w:tc>
          <w:tcPr>
            <w:tcW w:w="786" w:type="pct"/>
            <w:vMerge w:val="continue"/>
            <w:tcBorders>
              <w:tl2br w:val="nil"/>
              <w:tr2bl w:val="nil"/>
            </w:tcBorders>
            <w:vAlign w:val="center"/>
          </w:tcPr>
          <w:p w14:paraId="5567D54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p>
        </w:tc>
      </w:tr>
      <w:tr w14:paraId="29AB86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vMerge w:val="continue"/>
            <w:tcBorders>
              <w:tl2br w:val="nil"/>
              <w:tr2bl w:val="nil"/>
            </w:tcBorders>
            <w:vAlign w:val="center"/>
          </w:tcPr>
          <w:p w14:paraId="3F4CBA58">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p>
        </w:tc>
        <w:tc>
          <w:tcPr>
            <w:tcW w:w="1602" w:type="pct"/>
            <w:vMerge w:val="continue"/>
            <w:tcBorders>
              <w:tl2br w:val="nil"/>
              <w:tr2bl w:val="nil"/>
            </w:tcBorders>
            <w:vAlign w:val="center"/>
          </w:tcPr>
          <w:p w14:paraId="4AF0ACA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p>
        </w:tc>
        <w:tc>
          <w:tcPr>
            <w:tcW w:w="1396" w:type="pct"/>
            <w:tcBorders>
              <w:tl2br w:val="nil"/>
              <w:tr2bl w:val="nil"/>
            </w:tcBorders>
            <w:vAlign w:val="center"/>
          </w:tcPr>
          <w:p w14:paraId="33F0183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厚度&gt;10cm时，%</w:t>
            </w:r>
          </w:p>
        </w:tc>
        <w:tc>
          <w:tcPr>
            <w:tcW w:w="819" w:type="pct"/>
            <w:tcBorders>
              <w:tl2br w:val="nil"/>
              <w:tr2bl w:val="nil"/>
            </w:tcBorders>
            <w:vAlign w:val="center"/>
          </w:tcPr>
          <w:p w14:paraId="2AD6AD9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10.0</w:t>
            </w:r>
          </w:p>
        </w:tc>
        <w:tc>
          <w:tcPr>
            <w:tcW w:w="786" w:type="pct"/>
            <w:vMerge w:val="continue"/>
            <w:tcBorders>
              <w:tl2br w:val="nil"/>
              <w:tr2bl w:val="nil"/>
            </w:tcBorders>
            <w:vAlign w:val="center"/>
          </w:tcPr>
          <w:p w14:paraId="792340B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p>
        </w:tc>
      </w:tr>
      <w:bookmarkEnd w:id="85"/>
    </w:tbl>
    <w:p w14:paraId="6696A958">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bookmarkStart w:id="86" w:name="_Toc91794762"/>
    </w:p>
    <w:p w14:paraId="008D7507">
      <w:pPr>
        <w:pStyle w:val="4"/>
        <w:bidi w:val="0"/>
        <w:rPr>
          <w:rFonts w:hint="default"/>
          <w:lang w:val="en-US" w:eastAsia="zh-CN"/>
        </w:rPr>
      </w:pPr>
      <w:r>
        <w:rPr>
          <w:rFonts w:hint="eastAsia"/>
          <w:lang w:val="en-US" w:eastAsia="zh-CN"/>
        </w:rPr>
        <w:t>6.2.2 高精度定位设备性能和精度应满足：</w:t>
      </w:r>
    </w:p>
    <w:p w14:paraId="7D555B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lang w:val="en-US" w:eastAsia="zh-CN"/>
        </w:rPr>
        <w:t xml:space="preserve">a） </w:t>
      </w:r>
      <w:r>
        <w:rPr>
          <w:rFonts w:ascii="宋体" w:hAnsi="宋体" w:eastAsia="宋体" w:cs="宋体"/>
          <w:spacing w:val="-2"/>
          <w:sz w:val="21"/>
          <w:szCs w:val="21"/>
        </w:rPr>
        <w:t>数据接收帧率不小于</w:t>
      </w:r>
      <w:r>
        <w:rPr>
          <w:rFonts w:hint="eastAsia" w:cs="宋体"/>
          <w:spacing w:val="-2"/>
          <w:sz w:val="21"/>
          <w:szCs w:val="21"/>
          <w:lang w:val="en-US" w:eastAsia="zh-CN"/>
        </w:rPr>
        <w:t>5</w:t>
      </w:r>
      <w:r>
        <w:rPr>
          <w:rFonts w:ascii="宋体" w:hAnsi="宋体" w:eastAsia="宋体" w:cs="宋体"/>
          <w:spacing w:val="-2"/>
          <w:sz w:val="21"/>
          <w:szCs w:val="21"/>
        </w:rPr>
        <w:t>Hz</w:t>
      </w:r>
      <w:r>
        <w:rPr>
          <w:rFonts w:hint="eastAsia" w:ascii="宋体" w:hAnsi="宋体" w:eastAsia="宋体" w:cs="宋体"/>
          <w:spacing w:val="-2"/>
          <w:sz w:val="21"/>
          <w:szCs w:val="21"/>
          <w:lang w:eastAsia="zh-CN"/>
        </w:rPr>
        <w:t>；</w:t>
      </w:r>
    </w:p>
    <w:p w14:paraId="5792FD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lang w:val="en-US" w:eastAsia="zh-CN"/>
        </w:rPr>
        <w:t xml:space="preserve">b） </w:t>
      </w:r>
      <w:r>
        <w:rPr>
          <w:rFonts w:ascii="宋体" w:hAnsi="宋体" w:eastAsia="宋体" w:cs="宋体"/>
          <w:spacing w:val="-2"/>
          <w:sz w:val="21"/>
          <w:szCs w:val="21"/>
        </w:rPr>
        <w:t>定位数据平面精度应优于5.0cm</w:t>
      </w:r>
      <w:r>
        <w:rPr>
          <w:rFonts w:hint="eastAsia" w:ascii="宋体" w:hAnsi="宋体" w:eastAsia="宋体" w:cs="宋体"/>
          <w:spacing w:val="-2"/>
          <w:sz w:val="21"/>
          <w:szCs w:val="21"/>
          <w:lang w:eastAsia="zh-CN"/>
        </w:rPr>
        <w:t>，</w:t>
      </w:r>
      <w:r>
        <w:rPr>
          <w:rFonts w:ascii="宋体" w:hAnsi="宋体" w:eastAsia="宋体" w:cs="宋体"/>
          <w:spacing w:val="-2"/>
          <w:sz w:val="21"/>
          <w:szCs w:val="21"/>
        </w:rPr>
        <w:t>高程精度应优于20.0cm</w:t>
      </w:r>
      <w:r>
        <w:rPr>
          <w:rFonts w:hint="eastAsia" w:ascii="宋体" w:hAnsi="宋体" w:eastAsia="宋体" w:cs="宋体"/>
          <w:spacing w:val="-5"/>
          <w:sz w:val="21"/>
          <w:szCs w:val="21"/>
          <w:lang w:eastAsia="zh-CN"/>
        </w:rPr>
        <w:t>；</w:t>
      </w:r>
    </w:p>
    <w:p w14:paraId="136CEC5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lang w:val="en-US" w:eastAsia="zh-CN"/>
        </w:rPr>
        <w:t>c）</w:t>
      </w:r>
      <w:r>
        <w:t xml:space="preserve"> </w:t>
      </w:r>
      <w:r>
        <w:rPr>
          <w:rFonts w:ascii="宋体" w:hAnsi="宋体" w:eastAsia="宋体" w:cs="宋体"/>
          <w:spacing w:val="-6"/>
          <w:sz w:val="21"/>
          <w:szCs w:val="21"/>
        </w:rPr>
        <w:t>支持差分信号接收功能</w:t>
      </w:r>
      <w:r>
        <w:rPr>
          <w:rFonts w:hint="eastAsia" w:ascii="宋体" w:hAnsi="宋体" w:eastAsia="宋体" w:cs="宋体"/>
          <w:spacing w:val="-6"/>
          <w:sz w:val="21"/>
          <w:szCs w:val="21"/>
          <w:lang w:eastAsia="zh-CN"/>
        </w:rPr>
        <w:t>，</w:t>
      </w:r>
      <w:r>
        <w:rPr>
          <w:rFonts w:ascii="宋体" w:hAnsi="宋体" w:eastAsia="宋体" w:cs="宋体"/>
          <w:spacing w:val="-5"/>
          <w:sz w:val="21"/>
          <w:szCs w:val="21"/>
        </w:rPr>
        <w:t>支持接收CORS定位坐标。</w:t>
      </w:r>
    </w:p>
    <w:p w14:paraId="34C2D336">
      <w:pPr>
        <w:pStyle w:val="3"/>
        <w:bidi w:val="0"/>
        <w:rPr>
          <w:rFonts w:hint="default"/>
          <w:lang w:val="en-US" w:eastAsia="zh-CN"/>
        </w:rPr>
      </w:pPr>
      <w:r>
        <w:rPr>
          <w:rFonts w:hint="eastAsia"/>
          <w:lang w:val="en-US" w:eastAsia="zh-CN"/>
        </w:rPr>
        <w:t>6.3三维探地雷达</w:t>
      </w:r>
      <w:bookmarkEnd w:id="86"/>
      <w:r>
        <w:rPr>
          <w:rFonts w:hint="eastAsia"/>
          <w:lang w:val="en-US" w:eastAsia="zh-CN"/>
        </w:rPr>
        <w:t>现场检测</w:t>
      </w:r>
    </w:p>
    <w:p w14:paraId="2D92F086">
      <w:pPr>
        <w:pStyle w:val="4"/>
        <w:bidi w:val="0"/>
      </w:pPr>
      <w:bookmarkStart w:id="87" w:name="_Toc91794763"/>
      <w:r>
        <w:rPr>
          <w:rFonts w:hint="eastAsia"/>
          <w:lang w:val="en-US" w:eastAsia="zh-CN"/>
        </w:rPr>
        <w:t xml:space="preserve">6.3.1 </w:t>
      </w:r>
      <w:r>
        <w:rPr>
          <w:rFonts w:hint="eastAsia"/>
        </w:rPr>
        <w:t>雷达测线布置</w:t>
      </w:r>
      <w:bookmarkEnd w:id="87"/>
    </w:p>
    <w:p w14:paraId="69C5F585">
      <w:pPr>
        <w:bidi w:val="0"/>
        <w:ind w:left="0" w:leftChars="0" w:firstLine="0" w:firstLineChars="0"/>
      </w:pPr>
      <w:r>
        <w:rPr>
          <w:rStyle w:val="29"/>
          <w:rFonts w:hint="eastAsia"/>
          <w:lang w:val="en-US" w:eastAsia="zh-CN"/>
        </w:rPr>
        <w:t>6</w:t>
      </w:r>
      <w:r>
        <w:rPr>
          <w:rStyle w:val="29"/>
        </w:rPr>
        <w:t>.</w:t>
      </w:r>
      <w:r>
        <w:rPr>
          <w:rStyle w:val="29"/>
          <w:rFonts w:hint="eastAsia"/>
          <w:lang w:val="en-US" w:eastAsia="zh-CN"/>
        </w:rPr>
        <w:t>3</w:t>
      </w:r>
      <w:r>
        <w:rPr>
          <w:rStyle w:val="29"/>
        </w:rPr>
        <w:t>.1</w:t>
      </w:r>
      <w:r>
        <w:rPr>
          <w:rStyle w:val="29"/>
          <w:rFonts w:hint="eastAsia"/>
          <w:lang w:val="en-US" w:eastAsia="zh-CN"/>
        </w:rPr>
        <w:t>.1</w:t>
      </w:r>
      <w:r>
        <w:t xml:space="preserve"> </w:t>
      </w:r>
      <w:r>
        <w:rPr>
          <w:rFonts w:hint="eastAsia"/>
          <w:lang w:val="en-US" w:eastAsia="zh-CN"/>
        </w:rPr>
        <w:t xml:space="preserve"> </w:t>
      </w:r>
      <w:r>
        <w:rPr>
          <w:rFonts w:hint="eastAsia"/>
        </w:rPr>
        <w:t>雷达测线纵向</w:t>
      </w:r>
      <w:r>
        <w:rPr>
          <w:rFonts w:hint="eastAsia"/>
          <w:lang w:val="en-US" w:eastAsia="zh-CN"/>
        </w:rPr>
        <w:t>宜</w:t>
      </w:r>
      <w:r>
        <w:rPr>
          <w:rFonts w:hint="eastAsia"/>
        </w:rPr>
        <w:t>沿车道行进方向布设，横向测线</w:t>
      </w:r>
      <w:r>
        <w:rPr>
          <w:rFonts w:hint="eastAsia"/>
          <w:lang w:val="en-US" w:eastAsia="zh-CN"/>
        </w:rPr>
        <w:t>宜</w:t>
      </w:r>
      <w:r>
        <w:rPr>
          <w:rFonts w:hint="eastAsia"/>
        </w:rPr>
        <w:t>垂直于待测目标体走向</w:t>
      </w:r>
      <w:r>
        <w:rPr>
          <w:rFonts w:hint="eastAsia"/>
          <w:lang w:val="en-US" w:eastAsia="zh-CN"/>
        </w:rPr>
        <w:t>布设</w:t>
      </w:r>
      <w:r>
        <w:rPr>
          <w:rFonts w:hint="eastAsia"/>
        </w:rPr>
        <w:t>。</w:t>
      </w:r>
    </w:p>
    <w:p w14:paraId="102FB825">
      <w:pPr>
        <w:bidi w:val="0"/>
        <w:ind w:left="0" w:leftChars="0" w:firstLine="0" w:firstLineChars="0"/>
      </w:pPr>
      <w:r>
        <w:rPr>
          <w:rStyle w:val="29"/>
          <w:rFonts w:hint="eastAsia"/>
          <w:lang w:val="en-US" w:eastAsia="zh-CN"/>
        </w:rPr>
        <w:t>6</w:t>
      </w:r>
      <w:r>
        <w:rPr>
          <w:rStyle w:val="29"/>
        </w:rPr>
        <w:t>.</w:t>
      </w:r>
      <w:r>
        <w:rPr>
          <w:rStyle w:val="29"/>
          <w:rFonts w:hint="eastAsia"/>
          <w:lang w:val="en-US" w:eastAsia="zh-CN"/>
        </w:rPr>
        <w:t>3.1</w:t>
      </w:r>
      <w:r>
        <w:rPr>
          <w:rStyle w:val="29"/>
        </w:rPr>
        <w:t>.2</w:t>
      </w:r>
      <w:r>
        <w:rPr>
          <w:rStyle w:val="29"/>
          <w:rFonts w:hint="eastAsia" w:eastAsia="黑体"/>
          <w:lang w:val="en-US" w:eastAsia="zh-CN"/>
        </w:rPr>
        <w:t xml:space="preserve"> </w:t>
      </w:r>
      <w:r>
        <w:t xml:space="preserve"> </w:t>
      </w:r>
      <w:r>
        <w:rPr>
          <w:rFonts w:hint="eastAsia"/>
        </w:rPr>
        <w:t>测线起终点</w:t>
      </w:r>
      <w:r>
        <w:rPr>
          <w:rFonts w:hint="eastAsia"/>
          <w:lang w:val="en-US" w:eastAsia="zh-CN"/>
        </w:rPr>
        <w:t>需在明显</w:t>
      </w:r>
      <w:r>
        <w:rPr>
          <w:rFonts w:hint="eastAsia"/>
        </w:rPr>
        <w:t>参照物或里程桩号</w:t>
      </w:r>
      <w:r>
        <w:rPr>
          <w:rFonts w:hint="eastAsia"/>
          <w:lang w:val="en-US" w:eastAsia="zh-CN"/>
        </w:rPr>
        <w:t>处打标记点</w:t>
      </w:r>
      <w:r>
        <w:rPr>
          <w:rFonts w:hint="eastAsia"/>
        </w:rPr>
        <w:t>。当现场无</w:t>
      </w:r>
      <w:r>
        <w:rPr>
          <w:rFonts w:hint="eastAsia"/>
          <w:lang w:val="en-US" w:eastAsia="zh-CN"/>
        </w:rPr>
        <w:t>明显</w:t>
      </w:r>
      <w:r>
        <w:rPr>
          <w:rFonts w:hint="eastAsia"/>
        </w:rPr>
        <w:t>参照物或里程桩号等信息时，须在起终点</w:t>
      </w:r>
      <w:r>
        <w:rPr>
          <w:rFonts w:hint="eastAsia"/>
          <w:lang w:val="en-US" w:eastAsia="zh-CN"/>
        </w:rPr>
        <w:t>位置地面绘制</w:t>
      </w:r>
      <w:r>
        <w:rPr>
          <w:rFonts w:hint="eastAsia"/>
        </w:rPr>
        <w:t>明显标记。</w:t>
      </w:r>
    </w:p>
    <w:p w14:paraId="4B2E29B2">
      <w:pPr>
        <w:bidi w:val="0"/>
        <w:ind w:left="0" w:leftChars="0" w:firstLine="0" w:firstLineChars="0"/>
      </w:pPr>
      <w:r>
        <w:rPr>
          <w:rStyle w:val="29"/>
          <w:rFonts w:hint="eastAsia"/>
          <w:lang w:val="en-US" w:eastAsia="zh-CN"/>
        </w:rPr>
        <w:t>6</w:t>
      </w:r>
      <w:r>
        <w:rPr>
          <w:rStyle w:val="29"/>
        </w:rPr>
        <w:t>.</w:t>
      </w:r>
      <w:r>
        <w:rPr>
          <w:rStyle w:val="29"/>
          <w:rFonts w:hint="eastAsia"/>
          <w:lang w:val="en-US" w:eastAsia="zh-CN"/>
        </w:rPr>
        <w:t>3.1</w:t>
      </w:r>
      <w:r>
        <w:rPr>
          <w:rStyle w:val="29"/>
        </w:rPr>
        <w:t>.3</w:t>
      </w:r>
      <w:r>
        <w:t xml:space="preserve"> </w:t>
      </w:r>
      <w:r>
        <w:rPr>
          <w:rFonts w:hint="eastAsia"/>
          <w:lang w:val="en-US" w:eastAsia="zh-CN"/>
        </w:rPr>
        <w:t xml:space="preserve"> </w:t>
      </w:r>
      <w:r>
        <w:rPr>
          <w:rFonts w:hint="eastAsia"/>
        </w:rPr>
        <w:t>对高速公路进行全覆盖检测时，相邻测线</w:t>
      </w:r>
      <w:r>
        <w:rPr>
          <w:rFonts w:hint="eastAsia"/>
          <w:lang w:val="en-US" w:eastAsia="zh-CN"/>
        </w:rPr>
        <w:t>重复覆盖宽度宜≥20cm，非全覆盖检测</w:t>
      </w:r>
      <w:r>
        <w:rPr>
          <w:rFonts w:hint="eastAsia"/>
        </w:rPr>
        <w:t>须保证每个车道</w:t>
      </w:r>
      <w:r>
        <w:rPr>
          <w:rFonts w:hint="eastAsia"/>
          <w:lang w:val="en-US" w:eastAsia="zh-CN"/>
        </w:rPr>
        <w:t>至少布设</w:t>
      </w:r>
      <w:r>
        <w:rPr>
          <w:rFonts w:hint="eastAsia"/>
        </w:rPr>
        <w:t>一</w:t>
      </w:r>
      <w:r>
        <w:rPr>
          <w:rFonts w:hint="eastAsia"/>
          <w:lang w:val="en-US" w:eastAsia="zh-CN"/>
        </w:rPr>
        <w:t>幅</w:t>
      </w:r>
      <w:r>
        <w:rPr>
          <w:rFonts w:hint="eastAsia"/>
        </w:rPr>
        <w:t>。</w:t>
      </w:r>
    </w:p>
    <w:p w14:paraId="6671BCD7">
      <w:pPr>
        <w:bidi w:val="0"/>
        <w:ind w:left="0" w:leftChars="0" w:firstLine="0" w:firstLineChars="0"/>
        <w:rPr>
          <w:rFonts w:hint="eastAsia" w:eastAsia="宋体"/>
          <w:lang w:eastAsia="zh-CN"/>
        </w:rPr>
      </w:pPr>
      <w:r>
        <w:rPr>
          <w:rStyle w:val="29"/>
          <w:rFonts w:hint="eastAsia"/>
          <w:lang w:val="en-US" w:eastAsia="zh-CN"/>
        </w:rPr>
        <w:t>6</w:t>
      </w:r>
      <w:r>
        <w:rPr>
          <w:rStyle w:val="29"/>
        </w:rPr>
        <w:t>.</w:t>
      </w:r>
      <w:r>
        <w:rPr>
          <w:rStyle w:val="29"/>
          <w:rFonts w:hint="eastAsia"/>
          <w:lang w:val="en-US" w:eastAsia="zh-CN"/>
        </w:rPr>
        <w:t>3.</w:t>
      </w:r>
      <w:r>
        <w:rPr>
          <w:rStyle w:val="29"/>
        </w:rPr>
        <w:t>1.</w:t>
      </w:r>
      <w:r>
        <w:rPr>
          <w:rStyle w:val="29"/>
          <w:rFonts w:hint="eastAsia" w:eastAsia="黑体"/>
          <w:lang w:val="en-US" w:eastAsia="zh-CN"/>
        </w:rPr>
        <w:t>4</w:t>
      </w:r>
      <w:r>
        <w:t xml:space="preserve"> </w:t>
      </w:r>
      <w:r>
        <w:rPr>
          <w:rFonts w:hint="eastAsia"/>
          <w:lang w:val="en-US" w:eastAsia="zh-CN"/>
        </w:rPr>
        <w:t xml:space="preserve"> 应</w:t>
      </w:r>
      <w:r>
        <w:rPr>
          <w:rFonts w:hint="eastAsia"/>
        </w:rPr>
        <w:t>绘制雷达测线布置示意图，测线布置示意图应包含以下信息：</w:t>
      </w:r>
    </w:p>
    <w:p w14:paraId="3E8C6C1F">
      <w:pPr>
        <w:bidi w:val="0"/>
      </w:pPr>
      <w:r>
        <w:rPr>
          <w:rFonts w:hint="eastAsia"/>
          <w:lang w:val="en-US" w:eastAsia="zh-CN"/>
        </w:rPr>
        <w:t>a</w:t>
      </w:r>
      <w:r>
        <w:rPr>
          <w:rFonts w:hint="eastAsia"/>
          <w:lang w:eastAsia="zh-CN"/>
        </w:rPr>
        <w:t>）</w:t>
      </w:r>
      <w:r>
        <w:t xml:space="preserve"> </w:t>
      </w:r>
      <w:r>
        <w:rPr>
          <w:rFonts w:hint="eastAsia"/>
        </w:rPr>
        <w:t>雷达测线起终点位置；</w:t>
      </w:r>
    </w:p>
    <w:p w14:paraId="6150CA80">
      <w:pPr>
        <w:bidi w:val="0"/>
      </w:pPr>
      <w:r>
        <w:rPr>
          <w:rFonts w:hint="eastAsia"/>
          <w:lang w:val="en-US" w:eastAsia="zh-CN"/>
        </w:rPr>
        <w:t>b</w:t>
      </w:r>
      <w:r>
        <w:rPr>
          <w:rFonts w:hint="eastAsia"/>
          <w:lang w:eastAsia="zh-CN"/>
        </w:rPr>
        <w:t>）</w:t>
      </w:r>
      <w:r>
        <w:t xml:space="preserve"> </w:t>
      </w:r>
      <w:r>
        <w:rPr>
          <w:rFonts w:hint="eastAsia"/>
        </w:rPr>
        <w:t>雷达测线方向；</w:t>
      </w:r>
    </w:p>
    <w:p w14:paraId="5732B8A7">
      <w:pPr>
        <w:bidi w:val="0"/>
      </w:pPr>
      <w:r>
        <w:rPr>
          <w:rFonts w:hint="eastAsia"/>
          <w:lang w:val="en-US" w:eastAsia="zh-CN"/>
        </w:rPr>
        <w:t>c</w:t>
      </w:r>
      <w:r>
        <w:rPr>
          <w:rFonts w:hint="eastAsia"/>
          <w:lang w:eastAsia="zh-CN"/>
        </w:rPr>
        <w:t>）</w:t>
      </w:r>
      <w:r>
        <w:t xml:space="preserve"> </w:t>
      </w:r>
      <w:r>
        <w:rPr>
          <w:rFonts w:hint="eastAsia"/>
        </w:rPr>
        <w:t>雷达测线的长度；</w:t>
      </w:r>
    </w:p>
    <w:p w14:paraId="10EB443D">
      <w:pPr>
        <w:bidi w:val="0"/>
        <w:rPr>
          <w:rFonts w:hint="eastAsia"/>
        </w:rPr>
      </w:pPr>
      <w:r>
        <w:rPr>
          <w:rFonts w:hint="eastAsia"/>
          <w:lang w:val="en-US" w:eastAsia="zh-CN"/>
        </w:rPr>
        <w:t>d</w:t>
      </w:r>
      <w:r>
        <w:rPr>
          <w:rFonts w:hint="eastAsia"/>
          <w:lang w:eastAsia="zh-CN"/>
        </w:rPr>
        <w:t>）</w:t>
      </w:r>
      <w:r>
        <w:t xml:space="preserve"> </w:t>
      </w:r>
      <w:r>
        <w:rPr>
          <w:rFonts w:hint="eastAsia"/>
        </w:rPr>
        <w:t>雷达测线所处的空间方位信息，宜遵循上北下南，左西右东。</w:t>
      </w:r>
    </w:p>
    <w:p w14:paraId="70BB55AB">
      <w:pPr>
        <w:pStyle w:val="4"/>
        <w:bidi w:val="0"/>
      </w:pPr>
      <w:bookmarkStart w:id="88" w:name="_Toc91794764"/>
      <w:r>
        <w:rPr>
          <w:rFonts w:hint="eastAsia"/>
          <w:lang w:val="en-US" w:eastAsia="zh-CN"/>
        </w:rPr>
        <w:t xml:space="preserve">6.3.2  </w:t>
      </w:r>
      <w:r>
        <w:rPr>
          <w:rFonts w:hint="eastAsia"/>
        </w:rPr>
        <w:t>检测方法</w:t>
      </w:r>
      <w:bookmarkEnd w:id="88"/>
    </w:p>
    <w:p w14:paraId="50ACCB8C">
      <w:pPr>
        <w:bidi w:val="0"/>
        <w:ind w:left="0" w:leftChars="0" w:firstLine="0" w:firstLineChars="0"/>
      </w:pPr>
      <w:r>
        <w:rPr>
          <w:rStyle w:val="29"/>
          <w:rFonts w:hint="eastAsia" w:eastAsia="黑体"/>
          <w:lang w:val="en-US" w:eastAsia="zh-CN"/>
        </w:rPr>
        <w:t xml:space="preserve"> </w:t>
      </w:r>
      <w:r>
        <w:t>探地雷达检测时，应按照下列要求进行：</w:t>
      </w:r>
    </w:p>
    <w:p w14:paraId="6924CA75">
      <w:pPr>
        <w:bidi w:val="0"/>
      </w:pPr>
      <w:r>
        <w:rPr>
          <w:rFonts w:hint="eastAsia"/>
          <w:lang w:val="en-US" w:eastAsia="zh-CN"/>
        </w:rPr>
        <w:t>a</w:t>
      </w:r>
      <w:r>
        <w:rPr>
          <w:rFonts w:hint="eastAsia"/>
          <w:lang w:eastAsia="zh-CN"/>
        </w:rPr>
        <w:t>）</w:t>
      </w:r>
      <w:r>
        <w:rPr>
          <w:rFonts w:hint="eastAsia"/>
          <w:lang w:val="en-US" w:eastAsia="zh-CN"/>
        </w:rPr>
        <w:t xml:space="preserve"> </w:t>
      </w:r>
      <w:r>
        <w:t>根据拟定的</w:t>
      </w:r>
      <w:r>
        <w:rPr>
          <w:rFonts w:hint="eastAsia"/>
        </w:rPr>
        <w:t>检测</w:t>
      </w:r>
      <w:r>
        <w:t>方案布设测线</w:t>
      </w:r>
      <w:r>
        <w:rPr>
          <w:rFonts w:hint="eastAsia"/>
          <w:lang w:eastAsia="zh-CN"/>
        </w:rPr>
        <w:t>，</w:t>
      </w:r>
      <w:r>
        <w:rPr>
          <w:rFonts w:hint="eastAsia"/>
          <w:lang w:val="en-US" w:eastAsia="zh-CN"/>
        </w:rPr>
        <w:t>记录</w:t>
      </w:r>
      <w:r>
        <w:t>测线端点、转折点</w:t>
      </w:r>
      <w:r>
        <w:rPr>
          <w:rFonts w:hint="eastAsia"/>
          <w:lang w:val="en-US" w:eastAsia="zh-CN"/>
        </w:rPr>
        <w:t>点位</w:t>
      </w:r>
      <w:r>
        <w:t>；</w:t>
      </w:r>
    </w:p>
    <w:p w14:paraId="58DF32FA">
      <w:pPr>
        <w:bidi w:val="0"/>
        <w:rPr>
          <w:rFonts w:hint="eastAsia" w:eastAsia="宋体"/>
          <w:lang w:eastAsia="zh-CN"/>
        </w:rPr>
      </w:pPr>
      <w:r>
        <w:rPr>
          <w:rFonts w:hint="eastAsia"/>
          <w:lang w:val="en-US" w:eastAsia="zh-CN"/>
        </w:rPr>
        <w:t>b</w:t>
      </w:r>
      <w:r>
        <w:rPr>
          <w:rFonts w:hint="eastAsia"/>
          <w:lang w:eastAsia="zh-CN"/>
        </w:rPr>
        <w:t>）</w:t>
      </w:r>
      <w:r>
        <w:rPr>
          <w:rFonts w:hint="eastAsia"/>
          <w:lang w:val="en-US" w:eastAsia="zh-CN"/>
        </w:rPr>
        <w:t xml:space="preserve"> </w:t>
      </w:r>
      <w:r>
        <w:rPr>
          <w:rFonts w:hint="eastAsia"/>
        </w:rPr>
        <w:t>采集方式宜优先选择测距轮驱动方式</w:t>
      </w:r>
      <w:r>
        <w:t>；</w:t>
      </w:r>
    </w:p>
    <w:p w14:paraId="28FBB93B">
      <w:pPr>
        <w:bidi w:val="0"/>
      </w:pPr>
      <w:r>
        <w:rPr>
          <w:rFonts w:hint="eastAsia"/>
          <w:lang w:val="en-US" w:eastAsia="zh-CN"/>
        </w:rPr>
        <w:t>c</w:t>
      </w:r>
      <w:r>
        <w:rPr>
          <w:rFonts w:hint="eastAsia"/>
          <w:lang w:eastAsia="zh-CN"/>
        </w:rPr>
        <w:t>）</w:t>
      </w:r>
      <w:r>
        <w:rPr>
          <w:rFonts w:hint="eastAsia"/>
          <w:lang w:val="en-US" w:eastAsia="zh-CN"/>
        </w:rPr>
        <w:t xml:space="preserve"> </w:t>
      </w:r>
      <w:r>
        <w:rPr>
          <w:rFonts w:hint="eastAsia"/>
        </w:rPr>
        <w:t>须严格按照操作手册，</w:t>
      </w:r>
      <w:r>
        <w:t>连接</w:t>
      </w:r>
      <w:r>
        <w:rPr>
          <w:rFonts w:hint="eastAsia"/>
        </w:rPr>
        <w:t>探地雷达</w:t>
      </w:r>
      <w:r>
        <w:t>系统各个部件；</w:t>
      </w:r>
    </w:p>
    <w:p w14:paraId="77EB3920">
      <w:pPr>
        <w:bidi w:val="0"/>
        <w:rPr>
          <w:rFonts w:hint="default"/>
          <w:lang w:val="en-US"/>
        </w:rPr>
      </w:pPr>
      <w:r>
        <w:rPr>
          <w:rFonts w:hint="eastAsia"/>
          <w:lang w:val="en-US" w:eastAsia="zh-CN"/>
        </w:rPr>
        <w:t>d</w:t>
      </w:r>
      <w:r>
        <w:rPr>
          <w:rFonts w:hint="eastAsia"/>
          <w:lang w:eastAsia="zh-CN"/>
        </w:rPr>
        <w:t>）</w:t>
      </w:r>
      <w:r>
        <w:rPr>
          <w:rFonts w:hint="eastAsia"/>
          <w:lang w:val="en-US" w:eastAsia="zh-CN"/>
        </w:rPr>
        <w:t xml:space="preserve"> 采集前，应开展试验工作，确定采集参数；</w:t>
      </w:r>
    </w:p>
    <w:p w14:paraId="53B67053">
      <w:pPr>
        <w:bidi w:val="0"/>
      </w:pPr>
      <w:r>
        <w:rPr>
          <w:rFonts w:hint="eastAsia"/>
          <w:lang w:val="en-US" w:eastAsia="zh-CN"/>
        </w:rPr>
        <w:t>e</w:t>
      </w:r>
      <w:r>
        <w:rPr>
          <w:rFonts w:hint="eastAsia"/>
          <w:lang w:eastAsia="zh-CN"/>
        </w:rPr>
        <w:t>）</w:t>
      </w:r>
      <w:r>
        <w:rPr>
          <w:rFonts w:hint="eastAsia"/>
          <w:lang w:val="en-US" w:eastAsia="zh-CN"/>
        </w:rPr>
        <w:t xml:space="preserve"> 采集时，应按照</w:t>
      </w:r>
      <w:r>
        <w:rPr>
          <w:rFonts w:hint="eastAsia"/>
        </w:rPr>
        <w:t>附录</w:t>
      </w:r>
      <w:r>
        <w:rPr>
          <w:rFonts w:hint="eastAsia"/>
          <w:lang w:val="en-US" w:eastAsia="zh-CN"/>
        </w:rPr>
        <w:t>C编制记录表</w:t>
      </w:r>
      <w:r>
        <w:rPr>
          <w:rFonts w:hint="eastAsia"/>
        </w:rPr>
        <w:t>，</w:t>
      </w:r>
      <w:r>
        <w:rPr>
          <w:rFonts w:hint="eastAsia"/>
          <w:lang w:val="en-US" w:eastAsia="zh-CN"/>
        </w:rPr>
        <w:t>应准确</w:t>
      </w:r>
      <w:r>
        <w:rPr>
          <w:rFonts w:hint="eastAsia"/>
        </w:rPr>
        <w:t>记录测线号、方向、测线位置、标记</w:t>
      </w:r>
      <w:r>
        <w:rPr>
          <w:rFonts w:hint="eastAsia"/>
          <w:lang w:val="en-US" w:eastAsia="zh-CN"/>
        </w:rPr>
        <w:t>点</w:t>
      </w:r>
      <w:r>
        <w:t>；</w:t>
      </w:r>
    </w:p>
    <w:p w14:paraId="6CC472E5">
      <w:pPr>
        <w:bidi w:val="0"/>
      </w:pPr>
      <w:r>
        <w:rPr>
          <w:rFonts w:hint="eastAsia"/>
          <w:lang w:val="en-US" w:eastAsia="zh-CN"/>
        </w:rPr>
        <w:t>f</w:t>
      </w:r>
      <w:r>
        <w:rPr>
          <w:rFonts w:hint="eastAsia"/>
          <w:lang w:eastAsia="zh-CN"/>
        </w:rPr>
        <w:t>）</w:t>
      </w:r>
      <w:r>
        <w:rPr>
          <w:rFonts w:hint="eastAsia"/>
          <w:lang w:val="en-US" w:eastAsia="zh-CN"/>
        </w:rPr>
        <w:t xml:space="preserve"> </w:t>
      </w:r>
      <w:r>
        <w:t>采集时，</w:t>
      </w:r>
      <w:r>
        <w:rPr>
          <w:rFonts w:hint="eastAsia"/>
        </w:rPr>
        <w:t>不</w:t>
      </w:r>
      <w:r>
        <w:rPr>
          <w:rFonts w:hint="eastAsia"/>
          <w:lang w:val="en-US" w:eastAsia="zh-CN"/>
        </w:rPr>
        <w:t>宜</w:t>
      </w:r>
      <w:r>
        <w:rPr>
          <w:rFonts w:hint="eastAsia"/>
        </w:rPr>
        <w:t>对雷达检测</w:t>
      </w:r>
      <w:r>
        <w:rPr>
          <w:rFonts w:hint="eastAsia"/>
          <w:lang w:val="en-US" w:eastAsia="zh-CN"/>
        </w:rPr>
        <w:t>参数</w:t>
      </w:r>
      <w:r>
        <w:rPr>
          <w:rFonts w:hint="eastAsia"/>
        </w:rPr>
        <w:t>进行调整；</w:t>
      </w:r>
    </w:p>
    <w:p w14:paraId="67029719">
      <w:pPr>
        <w:bidi w:val="0"/>
      </w:pPr>
      <w:r>
        <w:rPr>
          <w:rFonts w:hint="eastAsia"/>
          <w:lang w:val="en-US" w:eastAsia="zh-CN"/>
        </w:rPr>
        <w:t>g</w:t>
      </w:r>
      <w:r>
        <w:rPr>
          <w:rFonts w:hint="eastAsia"/>
          <w:lang w:eastAsia="zh-CN"/>
        </w:rPr>
        <w:t>）</w:t>
      </w:r>
      <w:r>
        <w:rPr>
          <w:rFonts w:hint="eastAsia"/>
          <w:lang w:val="en-US" w:eastAsia="zh-CN"/>
        </w:rPr>
        <w:t xml:space="preserve"> </w:t>
      </w:r>
      <w:r>
        <w:rPr>
          <w:rFonts w:hint="eastAsia"/>
        </w:rPr>
        <w:t>操作员要密切监视探地雷达信号的幅度，当信号幅度出现异常时，要认真判别信号幅度变化的原因</w:t>
      </w:r>
      <w:r>
        <w:rPr>
          <w:rFonts w:hint="eastAsia"/>
          <w:lang w:eastAsia="zh-CN"/>
        </w:rPr>
        <w:t>。</w:t>
      </w:r>
    </w:p>
    <w:p w14:paraId="0DF00A3D">
      <w:pPr>
        <w:pStyle w:val="4"/>
        <w:bidi w:val="0"/>
      </w:pPr>
      <w:bookmarkStart w:id="89" w:name="_Toc91794766"/>
      <w:r>
        <w:rPr>
          <w:rFonts w:hint="eastAsia"/>
          <w:lang w:val="en-US" w:eastAsia="zh-CN"/>
        </w:rPr>
        <w:t>6.3.3</w:t>
      </w:r>
      <w:r>
        <w:rPr>
          <w:rFonts w:hint="eastAsia"/>
        </w:rPr>
        <w:t>检测</w:t>
      </w:r>
      <w:r>
        <w:t>数据质量管理</w:t>
      </w:r>
      <w:bookmarkEnd w:id="89"/>
    </w:p>
    <w:p w14:paraId="09B03AFE">
      <w:pPr>
        <w:bidi w:val="0"/>
        <w:ind w:left="0" w:leftChars="0" w:firstLine="0" w:firstLineChars="0"/>
      </w:pPr>
      <w:r>
        <w:rPr>
          <w:rStyle w:val="29"/>
          <w:rFonts w:hint="eastAsia"/>
          <w:lang w:val="en-US" w:eastAsia="zh-CN"/>
        </w:rPr>
        <w:t>6</w:t>
      </w:r>
      <w:r>
        <w:rPr>
          <w:rStyle w:val="29"/>
        </w:rPr>
        <w:t>.</w:t>
      </w:r>
      <w:r>
        <w:rPr>
          <w:rStyle w:val="29"/>
          <w:rFonts w:hint="eastAsia" w:eastAsia="黑体"/>
          <w:lang w:val="en-US" w:eastAsia="zh-CN"/>
        </w:rPr>
        <w:t>3</w:t>
      </w:r>
      <w:r>
        <w:rPr>
          <w:rStyle w:val="29"/>
        </w:rPr>
        <w:t>.</w:t>
      </w:r>
      <w:r>
        <w:rPr>
          <w:rStyle w:val="29"/>
          <w:rFonts w:hint="eastAsia"/>
          <w:lang w:val="en-US" w:eastAsia="zh-CN"/>
        </w:rPr>
        <w:t>3.</w:t>
      </w:r>
      <w:r>
        <w:rPr>
          <w:rStyle w:val="29"/>
        </w:rPr>
        <w:t>1</w:t>
      </w:r>
      <w:r>
        <w:t xml:space="preserve"> </w:t>
      </w:r>
      <w:r>
        <w:rPr>
          <w:rFonts w:hint="eastAsia"/>
          <w:lang w:val="en-US" w:eastAsia="zh-CN"/>
        </w:rPr>
        <w:t xml:space="preserve"> </w:t>
      </w:r>
      <w:r>
        <w:rPr>
          <w:rFonts w:hint="eastAsia"/>
        </w:rPr>
        <w:t>加强现场检测数据质量管理，建立严格的数据质量评判制度，把好现场数据采集质量关；</w:t>
      </w:r>
      <w:r>
        <w:t>应由专人进行过程检查和资料审核</w:t>
      </w:r>
      <w:r>
        <w:rPr>
          <w:rFonts w:hint="eastAsia"/>
        </w:rPr>
        <w:t>。</w:t>
      </w:r>
    </w:p>
    <w:p w14:paraId="598D1A8F">
      <w:pPr>
        <w:bidi w:val="0"/>
        <w:ind w:left="0" w:leftChars="0" w:firstLine="0" w:firstLineChars="0"/>
        <w:rPr>
          <w:rFonts w:hint="eastAsia"/>
        </w:rPr>
      </w:pPr>
      <w:r>
        <w:rPr>
          <w:rStyle w:val="29"/>
          <w:rFonts w:hint="eastAsia"/>
          <w:lang w:val="en-US" w:eastAsia="zh-CN"/>
        </w:rPr>
        <w:t>6.3</w:t>
      </w:r>
      <w:r>
        <w:rPr>
          <w:rStyle w:val="29"/>
        </w:rPr>
        <w:t>.</w:t>
      </w:r>
      <w:r>
        <w:rPr>
          <w:rStyle w:val="29"/>
          <w:rFonts w:hint="eastAsia" w:eastAsia="黑体"/>
          <w:lang w:val="en-US" w:eastAsia="zh-CN"/>
        </w:rPr>
        <w:t>3</w:t>
      </w:r>
      <w:r>
        <w:rPr>
          <w:rStyle w:val="29"/>
        </w:rPr>
        <w:t>.2</w:t>
      </w:r>
      <w:r>
        <w:t xml:space="preserve"> </w:t>
      </w:r>
      <w:r>
        <w:rPr>
          <w:rFonts w:hint="eastAsia"/>
          <w:lang w:val="en-US" w:eastAsia="zh-CN"/>
        </w:rPr>
        <w:t xml:space="preserve"> </w:t>
      </w:r>
      <w:r>
        <w:rPr>
          <w:rFonts w:hint="eastAsia"/>
        </w:rPr>
        <w:t>当天现场检测采集的原始数据，须当天进行检查验收，以便及时发现问题并及时处理。</w:t>
      </w:r>
    </w:p>
    <w:p w14:paraId="05638F26">
      <w:pPr>
        <w:bidi w:val="0"/>
        <w:ind w:left="0" w:leftChars="0" w:firstLine="0" w:firstLineChars="0"/>
      </w:pPr>
      <w:r>
        <w:rPr>
          <w:rStyle w:val="29"/>
          <w:rFonts w:hint="eastAsia"/>
          <w:lang w:val="en-US" w:eastAsia="zh-CN"/>
        </w:rPr>
        <w:t>6</w:t>
      </w:r>
      <w:r>
        <w:rPr>
          <w:rStyle w:val="29"/>
        </w:rPr>
        <w:t>.</w:t>
      </w:r>
      <w:r>
        <w:rPr>
          <w:rStyle w:val="29"/>
          <w:rFonts w:hint="eastAsia" w:eastAsia="黑体"/>
          <w:lang w:val="en-US" w:eastAsia="zh-CN"/>
        </w:rPr>
        <w:t>3</w:t>
      </w:r>
      <w:r>
        <w:rPr>
          <w:rStyle w:val="29"/>
        </w:rPr>
        <w:t>.</w:t>
      </w:r>
      <w:r>
        <w:rPr>
          <w:rStyle w:val="29"/>
          <w:rFonts w:hint="eastAsia"/>
          <w:lang w:val="en-US" w:eastAsia="zh-CN"/>
        </w:rPr>
        <w:t>3.</w:t>
      </w:r>
      <w:r>
        <w:rPr>
          <w:rStyle w:val="29"/>
        </w:rPr>
        <w:t>3</w:t>
      </w:r>
      <w:r>
        <w:t xml:space="preserve"> </w:t>
      </w:r>
      <w:r>
        <w:rPr>
          <w:rFonts w:hint="eastAsia"/>
          <w:lang w:val="en-US" w:eastAsia="zh-CN"/>
        </w:rPr>
        <w:t xml:space="preserve"> </w:t>
      </w:r>
      <w:r>
        <w:rPr>
          <w:rFonts w:hint="eastAsia"/>
        </w:rPr>
        <w:t>对野外采集到的探地雷达原始数据，须进行数据质量的整体质量评判，评判原则如下： </w:t>
      </w:r>
    </w:p>
    <w:p w14:paraId="2FE20D86">
      <w:pPr>
        <w:bidi w:val="0"/>
      </w:pPr>
      <w:r>
        <w:rPr>
          <w:rFonts w:hint="eastAsia"/>
          <w:lang w:val="en-US" w:eastAsia="zh-CN"/>
        </w:rPr>
        <w:t>a</w:t>
      </w:r>
      <w:r>
        <w:rPr>
          <w:rFonts w:hint="eastAsia"/>
          <w:lang w:eastAsia="zh-CN"/>
        </w:rPr>
        <w:t>）</w:t>
      </w:r>
      <w:r>
        <w:rPr>
          <w:rFonts w:hint="eastAsia"/>
          <w:lang w:val="en-US" w:eastAsia="zh-CN"/>
        </w:rPr>
        <w:t xml:space="preserve"> </w:t>
      </w:r>
      <w:r>
        <w:rPr>
          <w:rFonts w:hint="eastAsia"/>
        </w:rPr>
        <w:t>测区数据覆盖率达到100%；</w:t>
      </w:r>
    </w:p>
    <w:p w14:paraId="0C06D5BB">
      <w:pPr>
        <w:bidi w:val="0"/>
      </w:pPr>
      <w:r>
        <w:rPr>
          <w:rFonts w:hint="eastAsia"/>
          <w:lang w:val="en-US" w:eastAsia="zh-CN"/>
        </w:rPr>
        <w:t>b</w:t>
      </w:r>
      <w:r>
        <w:rPr>
          <w:rFonts w:hint="eastAsia"/>
          <w:lang w:eastAsia="zh-CN"/>
        </w:rPr>
        <w:t>）</w:t>
      </w:r>
      <w:r>
        <w:rPr>
          <w:rFonts w:hint="eastAsia"/>
          <w:lang w:val="en-US" w:eastAsia="zh-CN"/>
        </w:rPr>
        <w:t xml:space="preserve"> </w:t>
      </w:r>
      <w:r>
        <w:rPr>
          <w:rFonts w:hint="eastAsia"/>
        </w:rPr>
        <w:t>深度方向上目标信号跟直达波重叠时，应使用更高频率天线重新采集；</w:t>
      </w:r>
    </w:p>
    <w:p w14:paraId="06678A0C">
      <w:pPr>
        <w:bidi w:val="0"/>
      </w:pPr>
      <w:r>
        <w:rPr>
          <w:rFonts w:hint="eastAsia"/>
          <w:lang w:val="en-US" w:eastAsia="zh-CN"/>
        </w:rPr>
        <w:t>c</w:t>
      </w:r>
      <w:r>
        <w:rPr>
          <w:rFonts w:hint="eastAsia"/>
          <w:lang w:eastAsia="zh-CN"/>
        </w:rPr>
        <w:t>）</w:t>
      </w:r>
      <w:r>
        <w:rPr>
          <w:rFonts w:hint="eastAsia"/>
          <w:lang w:val="en-US" w:eastAsia="zh-CN"/>
        </w:rPr>
        <w:t xml:space="preserve"> </w:t>
      </w:r>
      <w:r>
        <w:rPr>
          <w:rFonts w:hint="eastAsia"/>
        </w:rPr>
        <w:t>测试数据的信噪比应满足数据处理解释的需要；</w:t>
      </w:r>
    </w:p>
    <w:p w14:paraId="203D9CB4">
      <w:pPr>
        <w:bidi w:val="0"/>
      </w:pPr>
      <w:r>
        <w:rPr>
          <w:rFonts w:hint="eastAsia"/>
          <w:lang w:val="en-US" w:eastAsia="zh-CN"/>
        </w:rPr>
        <w:t>d</w:t>
      </w:r>
      <w:r>
        <w:rPr>
          <w:rFonts w:hint="eastAsia"/>
          <w:lang w:eastAsia="zh-CN"/>
        </w:rPr>
        <w:t>）</w:t>
      </w:r>
      <w:r>
        <w:rPr>
          <w:rFonts w:hint="eastAsia"/>
          <w:lang w:val="en-US" w:eastAsia="zh-CN"/>
        </w:rPr>
        <w:t xml:space="preserve"> </w:t>
      </w:r>
      <w:r>
        <w:rPr>
          <w:rFonts w:hint="eastAsia"/>
        </w:rPr>
        <w:t>数据丢道超过10%时，应降低移动速度，对该区域重新进行数据采集；</w:t>
      </w:r>
    </w:p>
    <w:p w14:paraId="36910BC6">
      <w:pPr>
        <w:bidi w:val="0"/>
      </w:pPr>
      <w:r>
        <w:rPr>
          <w:rFonts w:hint="eastAsia"/>
          <w:lang w:val="en-US" w:eastAsia="zh-CN"/>
        </w:rPr>
        <w:t>e</w:t>
      </w:r>
      <w:r>
        <w:rPr>
          <w:rFonts w:hint="eastAsia"/>
          <w:lang w:eastAsia="zh-CN"/>
        </w:rPr>
        <w:t>）</w:t>
      </w:r>
      <w:r>
        <w:rPr>
          <w:rFonts w:hint="eastAsia"/>
          <w:lang w:val="en-US" w:eastAsia="zh-CN"/>
        </w:rPr>
        <w:t xml:space="preserve"> </w:t>
      </w:r>
      <w:r>
        <w:rPr>
          <w:rFonts w:hint="eastAsia"/>
        </w:rPr>
        <w:t>定位信息偏离道路，造成测线轨迹混叠时，应重新采集混叠区域数据。</w:t>
      </w:r>
    </w:p>
    <w:p w14:paraId="7DA8FC18">
      <w:pPr>
        <w:bidi w:val="0"/>
        <w:ind w:left="0" w:leftChars="0" w:firstLine="0" w:firstLineChars="0"/>
        <w:jc w:val="left"/>
      </w:pPr>
      <w:r>
        <w:rPr>
          <w:rStyle w:val="29"/>
          <w:rFonts w:hint="eastAsia"/>
          <w:lang w:val="en-US" w:eastAsia="zh-CN"/>
        </w:rPr>
        <w:t>6</w:t>
      </w:r>
      <w:r>
        <w:rPr>
          <w:rStyle w:val="29"/>
        </w:rPr>
        <w:t>.</w:t>
      </w:r>
      <w:r>
        <w:rPr>
          <w:rStyle w:val="29"/>
          <w:rFonts w:hint="eastAsia" w:eastAsia="黑体"/>
          <w:lang w:val="en-US" w:eastAsia="zh-CN"/>
        </w:rPr>
        <w:t>3</w:t>
      </w:r>
      <w:r>
        <w:rPr>
          <w:rStyle w:val="29"/>
        </w:rPr>
        <w:t>.</w:t>
      </w:r>
      <w:r>
        <w:rPr>
          <w:rStyle w:val="29"/>
          <w:rFonts w:hint="eastAsia" w:eastAsia="黑体"/>
          <w:lang w:val="en-US" w:eastAsia="zh-CN"/>
        </w:rPr>
        <w:t>3</w:t>
      </w:r>
      <w:r>
        <w:rPr>
          <w:rStyle w:val="29"/>
          <w:rFonts w:hint="eastAsia"/>
          <w:lang w:val="en-US" w:eastAsia="zh-CN"/>
        </w:rPr>
        <w:t>.4</w:t>
      </w:r>
      <w:r>
        <w:t xml:space="preserve"> 原始数据不完整或质量不合格时，应及时进行补测或重测</w:t>
      </w:r>
      <w:r>
        <w:rPr>
          <w:rFonts w:hint="eastAsia"/>
        </w:rPr>
        <w:t>。</w:t>
      </w:r>
    </w:p>
    <w:p w14:paraId="6D675BF9">
      <w:pPr>
        <w:pStyle w:val="3"/>
        <w:bidi w:val="0"/>
      </w:pPr>
      <w:bookmarkStart w:id="90" w:name="_Toc91794767"/>
      <w:r>
        <w:rPr>
          <w:rFonts w:hint="eastAsia"/>
          <w:lang w:val="en-US" w:eastAsia="zh-CN"/>
        </w:rPr>
        <w:t>6.4</w:t>
      </w:r>
      <w:r>
        <w:rPr>
          <w:rFonts w:hint="eastAsia"/>
        </w:rPr>
        <w:t>数据处理与</w:t>
      </w:r>
      <w:r>
        <w:rPr>
          <w:rFonts w:hint="eastAsia"/>
          <w:lang w:val="en-US" w:eastAsia="zh-CN"/>
        </w:rPr>
        <w:t>资料</w:t>
      </w:r>
      <w:r>
        <w:rPr>
          <w:rFonts w:hint="eastAsia"/>
        </w:rPr>
        <w:t>解释</w:t>
      </w:r>
      <w:bookmarkEnd w:id="90"/>
    </w:p>
    <w:p w14:paraId="0BB583EA">
      <w:pPr>
        <w:pStyle w:val="4"/>
        <w:bidi w:val="0"/>
      </w:pPr>
      <w:bookmarkStart w:id="91" w:name="_Toc91794768"/>
      <w:r>
        <w:rPr>
          <w:rFonts w:hint="eastAsia"/>
          <w:lang w:val="en-US" w:eastAsia="zh-CN"/>
        </w:rPr>
        <w:t>6.4.1</w:t>
      </w:r>
      <w:r>
        <w:rPr>
          <w:rFonts w:hint="eastAsia"/>
        </w:rPr>
        <w:t>数据处理</w:t>
      </w:r>
      <w:bookmarkEnd w:id="91"/>
    </w:p>
    <w:p w14:paraId="43F08995">
      <w:pPr>
        <w:bidi w:val="0"/>
        <w:ind w:left="0" w:leftChars="0" w:firstLine="0" w:firstLineChars="0"/>
        <w:rPr>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w:t>
      </w:r>
      <w:r>
        <w:rPr>
          <w:rStyle w:val="29"/>
          <w:rFonts w:hint="eastAsia"/>
          <w:lang w:val="en-US" w:eastAsia="zh-CN"/>
        </w:rPr>
        <w:t>1.</w:t>
      </w:r>
      <w:r>
        <w:rPr>
          <w:rStyle w:val="29"/>
          <w:lang w:val="zh-CN"/>
        </w:rPr>
        <w:t>1</w:t>
      </w:r>
      <w:r>
        <w:rPr>
          <w:rFonts w:hint="eastAsia"/>
          <w:lang w:val="en-US" w:eastAsia="zh-CN"/>
        </w:rPr>
        <w:t xml:space="preserve"> 应</w:t>
      </w:r>
      <w:r>
        <w:rPr>
          <w:rFonts w:hint="eastAsia"/>
        </w:rPr>
        <w:t>及时对原始检测数据进行数据处理，严格遵循内、外业同步进行，内业指导外业的原则</w:t>
      </w:r>
      <w:r>
        <w:rPr>
          <w:rFonts w:hint="eastAsia"/>
          <w:lang w:val="zh-CN"/>
        </w:rPr>
        <w:t>；</w:t>
      </w:r>
    </w:p>
    <w:p w14:paraId="1C4B297A">
      <w:pPr>
        <w:bidi w:val="0"/>
        <w:ind w:left="0" w:leftChars="0" w:firstLine="0" w:firstLineChars="0"/>
        <w:rPr>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w:t>
      </w:r>
      <w:r>
        <w:rPr>
          <w:rStyle w:val="29"/>
          <w:rFonts w:hint="eastAsia"/>
          <w:lang w:val="en-US" w:eastAsia="zh-CN"/>
        </w:rPr>
        <w:t>1.</w:t>
      </w:r>
      <w:r>
        <w:rPr>
          <w:rStyle w:val="29"/>
          <w:lang w:val="zh-CN"/>
        </w:rPr>
        <w:t>2</w:t>
      </w:r>
      <w:r>
        <w:rPr>
          <w:lang w:val="zh-CN"/>
        </w:rPr>
        <w:t xml:space="preserve"> </w:t>
      </w:r>
      <w:r>
        <w:rPr>
          <w:rFonts w:hint="eastAsia"/>
          <w:lang w:val="en-US" w:eastAsia="zh-CN"/>
        </w:rPr>
        <w:t>应</w:t>
      </w:r>
      <w:r>
        <w:rPr>
          <w:rFonts w:hint="eastAsia"/>
          <w:lang w:val="zh-CN"/>
        </w:rPr>
        <w:t>对处理流程和参数进行反复的试验优选，确保处理流程合理、处理参数适当、处理结果准确可靠；数据处理的目的是压制干扰、突出有效目标的信号，应根据干扰的类型或需要的图像效果合理选择数据处理方法，对数据处理的参数应有足够的理解，避免过度处理，而出现虚假异常；</w:t>
      </w:r>
      <w:r>
        <w:rPr>
          <w:lang w:val="zh-CN"/>
        </w:rPr>
        <w:t xml:space="preserve"> </w:t>
      </w:r>
    </w:p>
    <w:p w14:paraId="3820A242">
      <w:pPr>
        <w:bidi w:val="0"/>
        <w:ind w:left="0" w:leftChars="0" w:firstLine="0" w:firstLineChars="0"/>
        <w:rPr>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w:t>
      </w:r>
      <w:r>
        <w:rPr>
          <w:rStyle w:val="29"/>
          <w:rFonts w:hint="eastAsia"/>
          <w:lang w:val="en-US" w:eastAsia="zh-CN"/>
        </w:rPr>
        <w:t>1.</w:t>
      </w:r>
      <w:r>
        <w:rPr>
          <w:rStyle w:val="29"/>
          <w:lang w:val="zh-CN"/>
        </w:rPr>
        <w:t>3</w:t>
      </w:r>
      <w:r>
        <w:rPr>
          <w:lang w:val="zh-CN"/>
        </w:rPr>
        <w:t xml:space="preserve">  数据</w:t>
      </w:r>
      <w:r>
        <w:rPr>
          <w:rFonts w:hint="eastAsia"/>
          <w:lang w:val="zh-CN"/>
        </w:rPr>
        <w:t>处理</w:t>
      </w:r>
      <w:r>
        <w:rPr>
          <w:rFonts w:hint="eastAsia"/>
          <w:lang w:val="en-US" w:eastAsia="zh-CN"/>
        </w:rPr>
        <w:t>时根据原始数据质量灵活选择以下处理步骤及其参数</w:t>
      </w:r>
      <w:r>
        <w:rPr>
          <w:rFonts w:hint="eastAsia"/>
          <w:lang w:val="zh-CN"/>
        </w:rPr>
        <w:t>：</w:t>
      </w:r>
    </w:p>
    <w:p w14:paraId="2772CAA3">
      <w:pPr>
        <w:bidi w:val="0"/>
      </w:pPr>
      <w:bookmarkStart w:id="92" w:name="_Toc91794769"/>
      <w:r>
        <w:rPr>
          <w:rFonts w:hint="eastAsia"/>
          <w:lang w:val="en-US" w:eastAsia="zh-CN"/>
        </w:rPr>
        <w:t>a</w:t>
      </w:r>
      <w:r>
        <w:rPr>
          <w:rFonts w:hint="eastAsia"/>
          <w:lang w:eastAsia="zh-CN"/>
        </w:rPr>
        <w:t>）</w:t>
      </w:r>
      <w:r>
        <w:rPr>
          <w:rFonts w:hint="eastAsia"/>
          <w:lang w:val="en-US" w:eastAsia="zh-CN"/>
        </w:rPr>
        <w:t xml:space="preserve"> </w:t>
      </w:r>
      <w:r>
        <w:rPr>
          <w:rFonts w:hint="eastAsia"/>
        </w:rPr>
        <w:t>预处理工作：包括文件格式转换、方向调整、分割和合并等。</w:t>
      </w:r>
    </w:p>
    <w:p w14:paraId="12DB2DC1">
      <w:pPr>
        <w:bidi w:val="0"/>
      </w:pPr>
      <w:r>
        <w:rPr>
          <w:rFonts w:hint="eastAsia"/>
          <w:lang w:val="en-US" w:eastAsia="zh-CN"/>
        </w:rPr>
        <w:t>b</w:t>
      </w:r>
      <w:r>
        <w:rPr>
          <w:rFonts w:hint="eastAsia"/>
          <w:lang w:eastAsia="zh-CN"/>
        </w:rPr>
        <w:t>）</w:t>
      </w:r>
      <w:r>
        <w:rPr>
          <w:rFonts w:hint="eastAsia"/>
          <w:lang w:val="en-US" w:eastAsia="zh-CN"/>
        </w:rPr>
        <w:t xml:space="preserve"> </w:t>
      </w:r>
      <w:r>
        <w:rPr>
          <w:rFonts w:hint="eastAsia"/>
        </w:rPr>
        <w:t>零点校正：</w:t>
      </w:r>
      <w:r>
        <w:rPr>
          <w:rFonts w:hint="eastAsia"/>
          <w:lang w:val="en-US" w:eastAsia="zh-CN"/>
        </w:rPr>
        <w:t>根据标定试验确定地面零点相位</w:t>
      </w:r>
      <w:r>
        <w:rPr>
          <w:rFonts w:hint="eastAsia"/>
        </w:rPr>
        <w:t>。</w:t>
      </w:r>
    </w:p>
    <w:p w14:paraId="225829B4">
      <w:pPr>
        <w:bidi w:val="0"/>
      </w:pPr>
      <w:r>
        <w:rPr>
          <w:rFonts w:hint="eastAsia"/>
          <w:lang w:val="en-US" w:eastAsia="zh-CN"/>
        </w:rPr>
        <w:t>c</w:t>
      </w:r>
      <w:r>
        <w:rPr>
          <w:rFonts w:hint="eastAsia"/>
          <w:lang w:eastAsia="zh-CN"/>
        </w:rPr>
        <w:t>）</w:t>
      </w:r>
      <w:r>
        <w:rPr>
          <w:rFonts w:hint="eastAsia"/>
          <w:lang w:val="en-US" w:eastAsia="zh-CN"/>
        </w:rPr>
        <w:t xml:space="preserve"> </w:t>
      </w:r>
      <w:r>
        <w:rPr>
          <w:rFonts w:hint="eastAsia"/>
        </w:rPr>
        <w:t>数字滤波：根据频率差异消除部分干扰波。</w:t>
      </w:r>
    </w:p>
    <w:p w14:paraId="08A66F05">
      <w:pPr>
        <w:bidi w:val="0"/>
      </w:pPr>
      <w:r>
        <w:rPr>
          <w:rFonts w:hint="eastAsia"/>
          <w:lang w:val="en-US" w:eastAsia="zh-CN"/>
        </w:rPr>
        <w:t>d</w:t>
      </w:r>
      <w:r>
        <w:rPr>
          <w:rFonts w:hint="eastAsia"/>
          <w:lang w:eastAsia="zh-CN"/>
        </w:rPr>
        <w:t>）</w:t>
      </w:r>
      <w:r>
        <w:rPr>
          <w:rFonts w:hint="eastAsia"/>
          <w:lang w:val="en-US" w:eastAsia="zh-CN"/>
        </w:rPr>
        <w:t xml:space="preserve"> </w:t>
      </w:r>
      <w:r>
        <w:rPr>
          <w:rFonts w:hint="eastAsia"/>
        </w:rPr>
        <w:t>反褶积：提高记录纵向分辨率，达到提高检测精度的目的。</w:t>
      </w:r>
    </w:p>
    <w:p w14:paraId="232DDC07">
      <w:pPr>
        <w:bidi w:val="0"/>
      </w:pPr>
      <w:r>
        <w:rPr>
          <w:rFonts w:hint="eastAsia"/>
          <w:lang w:val="en-US" w:eastAsia="zh-CN"/>
        </w:rPr>
        <w:t>e</w:t>
      </w:r>
      <w:r>
        <w:rPr>
          <w:rFonts w:hint="eastAsia"/>
          <w:lang w:eastAsia="zh-CN"/>
        </w:rPr>
        <w:t>）</w:t>
      </w:r>
      <w:r>
        <w:rPr>
          <w:rFonts w:hint="eastAsia"/>
          <w:lang w:val="en-US" w:eastAsia="zh-CN"/>
        </w:rPr>
        <w:t xml:space="preserve"> </w:t>
      </w:r>
      <w:r>
        <w:rPr>
          <w:rFonts w:hint="eastAsia"/>
        </w:rPr>
        <w:t>动校正：消除发射天线与接收天线之间的距离对有效波走时的影响。</w:t>
      </w:r>
    </w:p>
    <w:p w14:paraId="33CAF341">
      <w:pPr>
        <w:bidi w:val="0"/>
      </w:pPr>
      <w:r>
        <w:rPr>
          <w:rFonts w:hint="eastAsia"/>
          <w:lang w:val="en-US" w:eastAsia="zh-CN"/>
        </w:rPr>
        <w:t>f</w:t>
      </w:r>
      <w:r>
        <w:rPr>
          <w:rFonts w:hint="eastAsia"/>
          <w:lang w:eastAsia="zh-CN"/>
        </w:rPr>
        <w:t>）</w:t>
      </w:r>
      <w:r>
        <w:rPr>
          <w:rFonts w:hint="eastAsia"/>
          <w:lang w:val="en-US" w:eastAsia="zh-CN"/>
        </w:rPr>
        <w:t xml:space="preserve"> </w:t>
      </w:r>
      <w:r>
        <w:rPr>
          <w:rFonts w:hint="eastAsia"/>
        </w:rPr>
        <w:t>水平去噪：消除雷达系统干扰，突出异常的波组特征。</w:t>
      </w:r>
    </w:p>
    <w:p w14:paraId="040CD0F7">
      <w:pPr>
        <w:bidi w:val="0"/>
      </w:pPr>
      <w:r>
        <w:rPr>
          <w:rFonts w:hint="eastAsia"/>
          <w:lang w:val="en-US" w:eastAsia="zh-CN"/>
        </w:rPr>
        <w:t>g</w:t>
      </w:r>
      <w:r>
        <w:rPr>
          <w:rFonts w:hint="eastAsia"/>
          <w:lang w:eastAsia="zh-CN"/>
        </w:rPr>
        <w:t>）</w:t>
      </w:r>
      <w:r>
        <w:rPr>
          <w:rFonts w:hint="eastAsia"/>
          <w:lang w:val="en-US" w:eastAsia="zh-CN"/>
        </w:rPr>
        <w:t xml:space="preserve"> </w:t>
      </w:r>
      <w:r>
        <w:rPr>
          <w:rFonts w:hint="eastAsia"/>
        </w:rPr>
        <w:t>偏移处理：将自激自收剖面上的同相轴恢复到原来的正确位置，同时使干涉带自动得到分解，剖面面貌变得清晰，达到提高解释精度的目的。</w:t>
      </w:r>
    </w:p>
    <w:p w14:paraId="3C48B408">
      <w:pPr>
        <w:bidi w:val="0"/>
      </w:pPr>
      <w:r>
        <w:rPr>
          <w:rFonts w:hint="eastAsia"/>
          <w:lang w:val="en-US" w:eastAsia="zh-CN"/>
        </w:rPr>
        <w:t>h</w:t>
      </w:r>
      <w:r>
        <w:rPr>
          <w:rFonts w:hint="eastAsia"/>
          <w:lang w:eastAsia="zh-CN"/>
        </w:rPr>
        <w:t>）</w:t>
      </w:r>
      <w:r>
        <w:rPr>
          <w:rFonts w:hint="eastAsia"/>
          <w:lang w:val="en-US" w:eastAsia="zh-CN"/>
        </w:rPr>
        <w:t xml:space="preserve"> </w:t>
      </w:r>
      <w:r>
        <w:rPr>
          <w:rFonts w:hint="eastAsia"/>
        </w:rPr>
        <w:t>时深转换：利用标定点速度参数将时间剖面转换为深度剖面。</w:t>
      </w:r>
    </w:p>
    <w:p w14:paraId="1C2A3E9D">
      <w:pPr>
        <w:pStyle w:val="4"/>
        <w:bidi w:val="0"/>
      </w:pPr>
      <w:r>
        <w:rPr>
          <w:rFonts w:hint="eastAsia"/>
          <w:lang w:val="en-US" w:eastAsia="zh-CN"/>
        </w:rPr>
        <w:t>6.4.2资料</w:t>
      </w:r>
      <w:r>
        <w:rPr>
          <w:rFonts w:hint="eastAsia"/>
        </w:rPr>
        <w:t>解释</w:t>
      </w:r>
      <w:bookmarkEnd w:id="92"/>
    </w:p>
    <w:p w14:paraId="6C7F71C4">
      <w:pPr>
        <w:bidi w:val="0"/>
        <w:spacing w:line="240" w:lineRule="auto"/>
        <w:ind w:left="0" w:leftChars="0" w:firstLine="0" w:firstLineChars="0"/>
        <w:rPr>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2.1</w:t>
      </w:r>
      <w:r>
        <w:rPr>
          <w:lang w:val="zh-CN"/>
        </w:rPr>
        <w:t xml:space="preserve"> 探地雷达</w:t>
      </w:r>
      <w:r>
        <w:rPr>
          <w:rFonts w:hint="eastAsia"/>
          <w:lang w:val="en-US" w:eastAsia="zh-CN"/>
        </w:rPr>
        <w:t>资料</w:t>
      </w:r>
      <w:r>
        <w:rPr>
          <w:rFonts w:hint="eastAsia"/>
          <w:lang w:val="zh-CN"/>
        </w:rPr>
        <w:t>解释</w:t>
      </w:r>
      <w:r>
        <w:rPr>
          <w:lang w:val="zh-CN"/>
        </w:rPr>
        <w:t>应符合下列规定：</w:t>
      </w:r>
    </w:p>
    <w:p w14:paraId="333E40BE">
      <w:pPr>
        <w:bidi w:val="0"/>
        <w:spacing w:line="240" w:lineRule="auto"/>
        <w:rPr>
          <w:lang w:val="zh-CN"/>
        </w:rPr>
      </w:pPr>
      <w:r>
        <w:rPr>
          <w:rFonts w:hint="eastAsia"/>
          <w:lang w:val="en-US" w:eastAsia="zh-CN"/>
        </w:rPr>
        <w:t>a</w:t>
      </w:r>
      <w:r>
        <w:rPr>
          <w:rFonts w:hint="eastAsia"/>
          <w:lang w:eastAsia="zh-CN"/>
        </w:rPr>
        <w:t>）</w:t>
      </w:r>
      <w:r>
        <w:rPr>
          <w:rFonts w:hint="eastAsia"/>
          <w:lang w:val="en-US" w:eastAsia="zh-CN"/>
        </w:rPr>
        <w:t xml:space="preserve"> </w:t>
      </w:r>
      <w:r>
        <w:rPr>
          <w:lang w:val="zh-CN"/>
        </w:rPr>
        <w:t>用于成果解释的雷达图像应清晰、信噪比高；</w:t>
      </w:r>
    </w:p>
    <w:p w14:paraId="75E16313">
      <w:pPr>
        <w:bidi w:val="0"/>
        <w:spacing w:line="240" w:lineRule="auto"/>
        <w:rPr>
          <w:lang w:val="zh-CN"/>
        </w:rPr>
      </w:pPr>
      <w:r>
        <w:rPr>
          <w:rFonts w:hint="eastAsia"/>
          <w:lang w:val="en-US" w:eastAsia="zh-CN"/>
        </w:rPr>
        <w:t>b</w:t>
      </w:r>
      <w:r>
        <w:rPr>
          <w:rFonts w:hint="eastAsia"/>
          <w:lang w:eastAsia="zh-CN"/>
        </w:rPr>
        <w:t>）</w:t>
      </w:r>
      <w:r>
        <w:rPr>
          <w:rFonts w:hint="eastAsia"/>
          <w:lang w:val="en-US" w:eastAsia="zh-CN"/>
        </w:rPr>
        <w:t xml:space="preserve"> </w:t>
      </w:r>
      <w:r>
        <w:rPr>
          <w:lang w:val="zh-CN"/>
        </w:rPr>
        <w:t>宜根据雷达图像的波组形态、振幅、相位、频谱等特征进行</w:t>
      </w:r>
      <w:r>
        <w:rPr>
          <w:rFonts w:hint="eastAsia"/>
          <w:lang w:val="en-US" w:eastAsia="zh-CN"/>
        </w:rPr>
        <w:t>隐伏路面病害</w:t>
      </w:r>
      <w:r>
        <w:rPr>
          <w:lang w:val="zh-CN"/>
        </w:rPr>
        <w:t>异常识别和解释；</w:t>
      </w:r>
    </w:p>
    <w:p w14:paraId="0A7EAF79">
      <w:pPr>
        <w:bidi w:val="0"/>
        <w:spacing w:line="240" w:lineRule="auto"/>
        <w:rPr>
          <w:lang w:val="zh-CN"/>
        </w:rPr>
      </w:pPr>
      <w:r>
        <w:rPr>
          <w:rFonts w:hint="eastAsia"/>
          <w:lang w:val="en-US" w:eastAsia="zh-CN"/>
        </w:rPr>
        <w:t>c</w:t>
      </w:r>
      <w:r>
        <w:rPr>
          <w:rFonts w:hint="eastAsia"/>
          <w:lang w:eastAsia="zh-CN"/>
        </w:rPr>
        <w:t>）</w:t>
      </w:r>
      <w:r>
        <w:rPr>
          <w:rFonts w:hint="eastAsia"/>
          <w:lang w:val="en-US" w:eastAsia="zh-CN"/>
        </w:rPr>
        <w:t xml:space="preserve"> </w:t>
      </w:r>
      <w:r>
        <w:rPr>
          <w:lang w:val="zh-CN"/>
        </w:rPr>
        <w:t>应结合现场记录和已知资料，排除干扰异常；</w:t>
      </w:r>
    </w:p>
    <w:p w14:paraId="4EB0D37E">
      <w:pPr>
        <w:bidi w:val="0"/>
        <w:spacing w:line="240" w:lineRule="auto"/>
        <w:rPr>
          <w:rFonts w:hint="eastAsia"/>
          <w:lang w:val="zh-CN"/>
        </w:rPr>
      </w:pPr>
      <w:r>
        <w:rPr>
          <w:rFonts w:hint="eastAsia"/>
          <w:lang w:val="en-US" w:eastAsia="zh-CN"/>
        </w:rPr>
        <w:t>d</w:t>
      </w:r>
      <w:r>
        <w:rPr>
          <w:rFonts w:hint="eastAsia"/>
          <w:lang w:eastAsia="zh-CN"/>
        </w:rPr>
        <w:t>）</w:t>
      </w:r>
      <w:r>
        <w:rPr>
          <w:rFonts w:hint="eastAsia"/>
          <w:lang w:val="en-US" w:eastAsia="zh-CN"/>
        </w:rPr>
        <w:t xml:space="preserve"> </w:t>
      </w:r>
      <w:r>
        <w:rPr>
          <w:lang w:val="zh-CN"/>
        </w:rPr>
        <w:t>地下病害体宜结合地面变形、管线破损、历史塌陷等情况及测区地质资料进行综合解释</w:t>
      </w:r>
      <w:r>
        <w:rPr>
          <w:rFonts w:hint="eastAsia"/>
          <w:lang w:val="zh-CN"/>
        </w:rPr>
        <w:t>；</w:t>
      </w:r>
    </w:p>
    <w:p w14:paraId="381B5471">
      <w:pPr>
        <w:bidi w:val="0"/>
        <w:spacing w:line="240" w:lineRule="auto"/>
        <w:ind w:left="0" w:leftChars="0" w:firstLine="0" w:firstLineChars="0"/>
        <w:rPr>
          <w:rStyle w:val="29"/>
          <w:rFonts w:hint="eastAsia"/>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 xml:space="preserve">2.2 </w:t>
      </w:r>
      <w:r>
        <w:rPr>
          <w:rStyle w:val="29"/>
          <w:rFonts w:hint="eastAsia" w:ascii="宋体" w:hAnsi="宋体" w:eastAsia="宋体" w:cs="宋体"/>
          <w:lang w:val="zh-CN"/>
        </w:rPr>
        <w:t>高速公路隐伏病害解释可参照高速公路隐伏病害探地雷达图谱特征表</w:t>
      </w:r>
      <w:r>
        <w:rPr>
          <w:rStyle w:val="29"/>
          <w:rFonts w:hint="eastAsia" w:ascii="宋体" w:hAnsi="宋体" w:eastAsia="宋体" w:cs="宋体"/>
          <w:lang w:val="en-US" w:eastAsia="zh-CN"/>
        </w:rPr>
        <w:t>6</w:t>
      </w:r>
      <w:r>
        <w:rPr>
          <w:rStyle w:val="29"/>
          <w:rFonts w:hint="eastAsia" w:ascii="宋体" w:hAnsi="宋体" w:eastAsia="宋体" w:cs="宋体"/>
          <w:lang w:val="zh-CN"/>
        </w:rPr>
        <w:t>.</w:t>
      </w:r>
      <w:r>
        <w:rPr>
          <w:rStyle w:val="29"/>
          <w:rFonts w:hint="eastAsia" w:ascii="宋体" w:hAnsi="宋体" w:eastAsia="宋体" w:cs="宋体"/>
          <w:lang w:val="en-US" w:eastAsia="zh-CN"/>
        </w:rPr>
        <w:t>4.</w:t>
      </w:r>
      <w:r>
        <w:rPr>
          <w:rStyle w:val="29"/>
          <w:rFonts w:hint="eastAsia" w:ascii="宋体" w:hAnsi="宋体" w:eastAsia="宋体" w:cs="宋体"/>
          <w:lang w:val="zh-CN"/>
        </w:rPr>
        <w:t>2.2</w:t>
      </w:r>
      <w:r>
        <w:rPr>
          <w:rStyle w:val="29"/>
          <w:rFonts w:hint="eastAsia" w:ascii="宋体" w:hAnsi="宋体" w:eastAsia="宋体" w:cs="宋体"/>
          <w:lang w:val="en-US" w:eastAsia="zh-CN"/>
        </w:rPr>
        <w:t>及附录F</w:t>
      </w:r>
      <w:r>
        <w:rPr>
          <w:rStyle w:val="29"/>
          <w:rFonts w:hint="eastAsia" w:ascii="宋体" w:hAnsi="宋体" w:eastAsia="宋体" w:cs="宋体"/>
          <w:lang w:val="zh-CN"/>
        </w:rPr>
        <w:t>进行识别和判定。</w:t>
      </w:r>
    </w:p>
    <w:p w14:paraId="5888154D">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黑体" w:hAnsi="黑体" w:eastAsia="黑体" w:cs="黑体"/>
          <w:sz w:val="21"/>
          <w:szCs w:val="21"/>
        </w:rPr>
      </w:pPr>
    </w:p>
    <w:p w14:paraId="45A158BC">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黑体" w:hAnsi="黑体" w:eastAsia="黑体" w:cs="黑体"/>
          <w:sz w:val="21"/>
          <w:szCs w:val="21"/>
        </w:rPr>
      </w:pPr>
      <w:r>
        <w:rPr>
          <w:rFonts w:hint="eastAsia" w:ascii="黑体" w:hAnsi="黑体" w:eastAsia="黑体" w:cs="黑体"/>
          <w:sz w:val="21"/>
          <w:szCs w:val="21"/>
        </w:rPr>
        <w:t>表</w:t>
      </w: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2.2</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 xml:space="preserve"> 高速公路隐伏病害探地雷达图谱特征表</w:t>
      </w:r>
    </w:p>
    <w:tbl>
      <w:tblPr>
        <w:tblStyle w:val="16"/>
        <w:tblW w:w="506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2"/>
        <w:gridCol w:w="1378"/>
        <w:gridCol w:w="7418"/>
      </w:tblGrid>
      <w:tr w14:paraId="1FD0C9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70" w:type="pct"/>
            <w:tcBorders>
              <w:tl2br w:val="nil"/>
              <w:tr2bl w:val="nil"/>
            </w:tcBorders>
            <w:noWrap w:val="0"/>
            <w:vAlign w:val="center"/>
          </w:tcPr>
          <w:p w14:paraId="262A4656">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分类</w:t>
            </w:r>
          </w:p>
        </w:tc>
        <w:tc>
          <w:tcPr>
            <w:tcW w:w="725" w:type="pct"/>
            <w:tcBorders>
              <w:tl2br w:val="nil"/>
              <w:tr2bl w:val="nil"/>
            </w:tcBorders>
            <w:noWrap w:val="0"/>
            <w:vAlign w:val="center"/>
          </w:tcPr>
          <w:p w14:paraId="1A1E0610">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土体病害属性</w:t>
            </w:r>
          </w:p>
        </w:tc>
        <w:tc>
          <w:tcPr>
            <w:tcW w:w="3904" w:type="pct"/>
            <w:tcBorders>
              <w:tl2br w:val="nil"/>
              <w:tr2bl w:val="nil"/>
            </w:tcBorders>
            <w:noWrap w:val="0"/>
            <w:vAlign w:val="center"/>
          </w:tcPr>
          <w:p w14:paraId="4C575BC2">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探地雷达图谱特征</w:t>
            </w:r>
          </w:p>
        </w:tc>
      </w:tr>
      <w:tr w14:paraId="3F47DA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70" w:type="pct"/>
            <w:tcBorders>
              <w:tl2br w:val="nil"/>
              <w:tr2bl w:val="nil"/>
            </w:tcBorders>
            <w:shd w:val="clear" w:color="auto" w:fill="auto"/>
            <w:noWrap w:val="0"/>
            <w:vAlign w:val="center"/>
          </w:tcPr>
          <w:p w14:paraId="6BC7F01F">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rPr>
              <w:t>1</w:t>
            </w:r>
          </w:p>
        </w:tc>
        <w:tc>
          <w:tcPr>
            <w:tcW w:w="725" w:type="pct"/>
            <w:tcBorders>
              <w:tl2br w:val="nil"/>
              <w:tr2bl w:val="nil"/>
            </w:tcBorders>
            <w:noWrap w:val="0"/>
            <w:vAlign w:val="center"/>
          </w:tcPr>
          <w:p w14:paraId="66C4CC94">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val="en-US" w:eastAsia="zh-CN"/>
              </w:rPr>
            </w:pPr>
            <w:r>
              <w:rPr>
                <w:rFonts w:hint="eastAsia" w:asciiTheme="minorEastAsia" w:hAnsiTheme="minorEastAsia" w:eastAsiaTheme="minorEastAsia" w:cstheme="minorEastAsia"/>
                <w:kern w:val="2"/>
                <w:sz w:val="18"/>
                <w:szCs w:val="18"/>
                <w:lang w:val="en-US" w:eastAsia="zh-CN"/>
              </w:rPr>
              <w:t>脱空</w:t>
            </w:r>
          </w:p>
        </w:tc>
        <w:tc>
          <w:tcPr>
            <w:tcW w:w="3904" w:type="pct"/>
            <w:tcBorders>
              <w:tl2br w:val="nil"/>
              <w:tr2bl w:val="nil"/>
            </w:tcBorders>
            <w:noWrap w:val="0"/>
            <w:vAlign w:val="center"/>
          </w:tcPr>
          <w:p w14:paraId="263C90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垂直剖面：可见明显反射波同相轴，</w:t>
            </w:r>
            <w:r>
              <w:rPr>
                <w:rFonts w:hint="eastAsia" w:asciiTheme="minorEastAsia" w:hAnsiTheme="minorEastAsia" w:eastAsiaTheme="minorEastAsia" w:cstheme="minorEastAsia"/>
                <w:kern w:val="2"/>
                <w:sz w:val="18"/>
                <w:szCs w:val="18"/>
              </w:rPr>
              <w:t>边界可能伴随绕射现象</w:t>
            </w:r>
            <w:r>
              <w:rPr>
                <w:rFonts w:hint="eastAsia" w:asciiTheme="minorEastAsia" w:hAnsiTheme="minorEastAsia" w:eastAsiaTheme="minorEastAsia" w:cstheme="minorEastAsia"/>
                <w:b w:val="0"/>
                <w:bCs/>
                <w:color w:val="auto"/>
                <w:sz w:val="18"/>
                <w:szCs w:val="18"/>
                <w:highlight w:val="none"/>
                <w:lang w:val="en-US" w:eastAsia="zh-CN"/>
              </w:rPr>
              <w:t>，反射信号能量强。</w:t>
            </w:r>
          </w:p>
          <w:p w14:paraId="27DE36A7">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b w:val="0"/>
                <w:bCs/>
                <w:color w:val="auto"/>
                <w:sz w:val="18"/>
                <w:szCs w:val="18"/>
                <w:highlight w:val="none"/>
                <w:lang w:val="en-US" w:eastAsia="zh-CN"/>
              </w:rPr>
              <w:t>水平剖面：可见明显强反射信号轮廓。</w:t>
            </w:r>
          </w:p>
        </w:tc>
      </w:tr>
      <w:tr w14:paraId="20B6E0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370" w:type="pct"/>
            <w:tcBorders>
              <w:tl2br w:val="nil"/>
              <w:tr2bl w:val="nil"/>
            </w:tcBorders>
            <w:shd w:val="clear" w:color="auto" w:fill="auto"/>
            <w:noWrap w:val="0"/>
            <w:vAlign w:val="center"/>
          </w:tcPr>
          <w:p w14:paraId="1FE75846">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lang w:val="en-US" w:eastAsia="zh-CN"/>
              </w:rPr>
              <w:t>2</w:t>
            </w:r>
          </w:p>
        </w:tc>
        <w:tc>
          <w:tcPr>
            <w:tcW w:w="725" w:type="pct"/>
            <w:tcBorders>
              <w:tl2br w:val="nil"/>
              <w:tr2bl w:val="nil"/>
            </w:tcBorders>
            <w:noWrap w:val="0"/>
            <w:vAlign w:val="center"/>
          </w:tcPr>
          <w:p w14:paraId="7F5D5973">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疏松</w:t>
            </w:r>
          </w:p>
        </w:tc>
        <w:tc>
          <w:tcPr>
            <w:tcW w:w="3904" w:type="pct"/>
            <w:tcBorders>
              <w:tl2br w:val="nil"/>
              <w:tr2bl w:val="nil"/>
            </w:tcBorders>
            <w:noWrap w:val="0"/>
            <w:vAlign w:val="center"/>
          </w:tcPr>
          <w:p w14:paraId="1BD73084">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垂直剖面：可见反射波能量增强，同相轴短小且杂乱或无明显同相轴可循</w:t>
            </w:r>
            <w:r>
              <w:rPr>
                <w:rFonts w:hint="eastAsia" w:asciiTheme="minorEastAsia" w:hAnsiTheme="minorEastAsia" w:eastAsiaTheme="minorEastAsia" w:cstheme="minorEastAsia"/>
                <w:kern w:val="2"/>
                <w:sz w:val="18"/>
                <w:szCs w:val="18"/>
                <w:lang w:eastAsia="zh-CN"/>
              </w:rPr>
              <w:t>，</w:t>
            </w:r>
            <w:r>
              <w:rPr>
                <w:rFonts w:hint="eastAsia" w:asciiTheme="minorEastAsia" w:hAnsiTheme="minorEastAsia" w:eastAsiaTheme="minorEastAsia" w:cstheme="minorEastAsia"/>
                <w:kern w:val="2"/>
                <w:sz w:val="18"/>
                <w:szCs w:val="18"/>
              </w:rPr>
              <w:t>波形结构较为杂乱、不规则。</w:t>
            </w:r>
          </w:p>
          <w:p w14:paraId="5FBF2330">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水平剖面：类雪花</w:t>
            </w:r>
            <w:r>
              <w:rPr>
                <w:rFonts w:hint="eastAsia" w:asciiTheme="minorEastAsia" w:hAnsiTheme="minorEastAsia" w:eastAsiaTheme="minorEastAsia" w:cstheme="minorEastAsia"/>
                <w:kern w:val="2"/>
                <w:sz w:val="18"/>
                <w:szCs w:val="18"/>
                <w:lang w:val="en-US" w:eastAsia="zh-CN"/>
              </w:rPr>
              <w:t>点</w:t>
            </w:r>
            <w:r>
              <w:rPr>
                <w:rFonts w:hint="eastAsia" w:asciiTheme="minorEastAsia" w:hAnsiTheme="minorEastAsia" w:eastAsiaTheme="minorEastAsia" w:cstheme="minorEastAsia"/>
                <w:kern w:val="2"/>
                <w:sz w:val="18"/>
                <w:szCs w:val="18"/>
              </w:rPr>
              <w:t>状</w:t>
            </w:r>
            <w:r>
              <w:rPr>
                <w:rFonts w:hint="eastAsia" w:asciiTheme="minorEastAsia" w:hAnsiTheme="minorEastAsia" w:eastAsiaTheme="minorEastAsia" w:cstheme="minorEastAsia"/>
                <w:kern w:val="2"/>
                <w:sz w:val="18"/>
                <w:szCs w:val="18"/>
                <w:lang w:val="en-US" w:eastAsia="zh-CN"/>
              </w:rPr>
              <w:t>~不规则短条带状</w:t>
            </w:r>
            <w:r>
              <w:rPr>
                <w:rFonts w:hint="eastAsia" w:asciiTheme="minorEastAsia" w:hAnsiTheme="minorEastAsia" w:eastAsiaTheme="minorEastAsia" w:cstheme="minorEastAsia"/>
                <w:kern w:val="2"/>
                <w:sz w:val="18"/>
                <w:szCs w:val="18"/>
              </w:rPr>
              <w:t>影像。</w:t>
            </w:r>
          </w:p>
        </w:tc>
      </w:tr>
      <w:tr w14:paraId="42F888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70" w:type="pct"/>
            <w:tcBorders>
              <w:tl2br w:val="nil"/>
              <w:tr2bl w:val="nil"/>
            </w:tcBorders>
            <w:shd w:val="clear" w:color="auto" w:fill="auto"/>
            <w:noWrap w:val="0"/>
            <w:vAlign w:val="center"/>
          </w:tcPr>
          <w:p w14:paraId="3EAE76FD">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lang w:val="en-US" w:eastAsia="zh-CN"/>
              </w:rPr>
              <w:t>3</w:t>
            </w:r>
          </w:p>
        </w:tc>
        <w:tc>
          <w:tcPr>
            <w:tcW w:w="725" w:type="pct"/>
            <w:tcBorders>
              <w:tl2br w:val="nil"/>
              <w:tr2bl w:val="nil"/>
            </w:tcBorders>
            <w:noWrap w:val="0"/>
            <w:vAlign w:val="center"/>
          </w:tcPr>
          <w:p w14:paraId="783102A9">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空洞</w:t>
            </w:r>
          </w:p>
        </w:tc>
        <w:tc>
          <w:tcPr>
            <w:tcW w:w="3904" w:type="pct"/>
            <w:tcBorders>
              <w:tl2br w:val="nil"/>
              <w:tr2bl w:val="nil"/>
            </w:tcBorders>
            <w:noWrap w:val="0"/>
            <w:vAlign w:val="center"/>
          </w:tcPr>
          <w:p w14:paraId="55EFD5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垂直剖面：顶部可见明显反射波同相轴，三振相明显，空洞尺寸较小时反射波同相轴呈双曲线型，</w:t>
            </w:r>
            <w:r>
              <w:rPr>
                <w:rFonts w:hint="eastAsia" w:asciiTheme="minorEastAsia" w:hAnsiTheme="minorEastAsia" w:eastAsiaTheme="minorEastAsia" w:cstheme="minorEastAsia"/>
                <w:kern w:val="2"/>
                <w:sz w:val="18"/>
                <w:szCs w:val="18"/>
              </w:rPr>
              <w:t>下部多次反射波明显，边界可能伴随绕射现象</w:t>
            </w:r>
            <w:r>
              <w:rPr>
                <w:rFonts w:hint="eastAsia" w:asciiTheme="minorEastAsia" w:hAnsiTheme="minorEastAsia" w:eastAsiaTheme="minorEastAsia" w:cstheme="minorEastAsia"/>
                <w:b w:val="0"/>
                <w:bCs/>
                <w:color w:val="auto"/>
                <w:sz w:val="18"/>
                <w:szCs w:val="18"/>
                <w:highlight w:val="none"/>
                <w:lang w:val="en-US" w:eastAsia="zh-CN"/>
              </w:rPr>
              <w:t>，反射信号能量强。</w:t>
            </w:r>
          </w:p>
          <w:p w14:paraId="583832ED">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b w:val="0"/>
                <w:bCs/>
                <w:color w:val="auto"/>
                <w:sz w:val="18"/>
                <w:szCs w:val="18"/>
                <w:highlight w:val="none"/>
                <w:lang w:val="en-US" w:eastAsia="zh-CN"/>
              </w:rPr>
              <w:t>水平剖面：可见明显圈闭强反射信号轮廓，图像形态与空洞实体基本一致。</w:t>
            </w:r>
          </w:p>
        </w:tc>
      </w:tr>
      <w:tr w14:paraId="285DA7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70" w:type="pct"/>
            <w:tcBorders>
              <w:tl2br w:val="nil"/>
              <w:tr2bl w:val="nil"/>
            </w:tcBorders>
            <w:noWrap w:val="0"/>
            <w:vAlign w:val="center"/>
          </w:tcPr>
          <w:p w14:paraId="7BB9C96F">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eastAsia="zh-CN"/>
              </w:rPr>
            </w:pPr>
            <w:r>
              <w:rPr>
                <w:rFonts w:hint="eastAsia" w:asciiTheme="minorEastAsia" w:hAnsiTheme="minorEastAsia" w:eastAsiaTheme="minorEastAsia" w:cstheme="minorEastAsia"/>
                <w:kern w:val="2"/>
                <w:sz w:val="18"/>
                <w:szCs w:val="18"/>
                <w:lang w:val="en-US" w:eastAsia="zh-CN"/>
              </w:rPr>
              <w:t>4</w:t>
            </w:r>
          </w:p>
        </w:tc>
        <w:tc>
          <w:tcPr>
            <w:tcW w:w="725" w:type="pct"/>
            <w:tcBorders>
              <w:tl2br w:val="nil"/>
              <w:tr2bl w:val="nil"/>
            </w:tcBorders>
            <w:noWrap w:val="0"/>
            <w:vAlign w:val="center"/>
          </w:tcPr>
          <w:p w14:paraId="59FE8A3A">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富水</w:t>
            </w:r>
          </w:p>
        </w:tc>
        <w:tc>
          <w:tcPr>
            <w:tcW w:w="3904" w:type="pct"/>
            <w:tcBorders>
              <w:tl2br w:val="nil"/>
              <w:tr2bl w:val="nil"/>
            </w:tcBorders>
            <w:noWrap w:val="0"/>
            <w:vAlign w:val="center"/>
          </w:tcPr>
          <w:p w14:paraId="08741366">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垂直剖面：顶面反射信号能量强、下部信号衰减明显</w:t>
            </w:r>
            <w:r>
              <w:rPr>
                <w:rFonts w:hint="eastAsia" w:asciiTheme="minorEastAsia" w:hAnsiTheme="minorEastAsia" w:eastAsiaTheme="minorEastAsia" w:cstheme="minorEastAsia"/>
                <w:kern w:val="2"/>
                <w:sz w:val="18"/>
                <w:szCs w:val="18"/>
                <w:lang w:eastAsia="zh-CN"/>
              </w:rPr>
              <w:t>，</w:t>
            </w:r>
            <w:r>
              <w:rPr>
                <w:rFonts w:hint="eastAsia" w:asciiTheme="minorEastAsia" w:hAnsiTheme="minorEastAsia" w:eastAsiaTheme="minorEastAsia" w:cstheme="minorEastAsia"/>
                <w:kern w:val="2"/>
                <w:sz w:val="18"/>
                <w:szCs w:val="18"/>
                <w:lang w:val="en-US" w:eastAsia="zh-CN"/>
              </w:rPr>
              <w:t>回波</w:t>
            </w:r>
            <w:r>
              <w:rPr>
                <w:rFonts w:hint="eastAsia" w:asciiTheme="minorEastAsia" w:hAnsiTheme="minorEastAsia" w:eastAsiaTheme="minorEastAsia" w:cstheme="minorEastAsia"/>
                <w:kern w:val="2"/>
                <w:sz w:val="18"/>
                <w:szCs w:val="18"/>
              </w:rPr>
              <w:t>频率</w:t>
            </w:r>
            <w:r>
              <w:rPr>
                <w:rFonts w:hint="eastAsia" w:asciiTheme="minorEastAsia" w:hAnsiTheme="minorEastAsia" w:eastAsiaTheme="minorEastAsia" w:cstheme="minorEastAsia"/>
                <w:kern w:val="2"/>
                <w:sz w:val="18"/>
                <w:szCs w:val="18"/>
                <w:lang w:val="en-US" w:eastAsia="zh-CN"/>
              </w:rPr>
              <w:t>成分以低频为主</w:t>
            </w:r>
            <w:r>
              <w:rPr>
                <w:rFonts w:hint="eastAsia" w:asciiTheme="minorEastAsia" w:hAnsiTheme="minorEastAsia" w:eastAsiaTheme="minorEastAsia" w:cstheme="minorEastAsia"/>
                <w:kern w:val="2"/>
                <w:sz w:val="18"/>
                <w:szCs w:val="18"/>
              </w:rPr>
              <w:t>。</w:t>
            </w:r>
          </w:p>
          <w:p w14:paraId="04DD7588">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水平剖面：富水区浅部不同深度层间变化较缓，下部图像因缺失反射信号多为雪花状。</w:t>
            </w:r>
          </w:p>
        </w:tc>
      </w:tr>
    </w:tbl>
    <w:p w14:paraId="1FB645C0">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firstLine="0" w:firstLineChars="0"/>
        <w:textAlignment w:val="auto"/>
      </w:pPr>
      <w:r>
        <w:rPr>
          <w:rStyle w:val="29"/>
          <w:rFonts w:hint="eastAsia" w:eastAsia="黑体"/>
          <w:lang w:val="en-US" w:eastAsia="zh-CN"/>
        </w:rPr>
        <w:t>6</w:t>
      </w:r>
      <w:r>
        <w:rPr>
          <w:rStyle w:val="29"/>
        </w:rPr>
        <w:t>.</w:t>
      </w:r>
      <w:r>
        <w:rPr>
          <w:rStyle w:val="29"/>
          <w:rFonts w:hint="eastAsia"/>
          <w:lang w:val="en-US" w:eastAsia="zh-CN"/>
        </w:rPr>
        <w:t>4.</w:t>
      </w:r>
      <w:r>
        <w:rPr>
          <w:rStyle w:val="29"/>
        </w:rPr>
        <w:t>2.3</w:t>
      </w:r>
      <w:r>
        <w:t xml:space="preserve"> </w:t>
      </w:r>
      <w:r>
        <w:rPr>
          <w:rFonts w:hint="eastAsia"/>
          <w:lang w:val="en-US" w:eastAsia="zh-CN"/>
        </w:rPr>
        <w:t xml:space="preserve"> </w:t>
      </w:r>
      <w:r>
        <w:rPr>
          <w:rFonts w:hint="eastAsia"/>
        </w:rPr>
        <w:t>雷达数据解释结果信息应包括异常类型、形状、埋深、规模及空间位置信息等</w:t>
      </w:r>
      <w:r>
        <w:rPr>
          <w:rFonts w:hint="eastAsia"/>
          <w:lang w:val="en-US" w:eastAsia="zh-CN"/>
        </w:rPr>
        <w:t>,病害信息记录见附录D和附录E</w:t>
      </w:r>
      <w:r>
        <w:rPr>
          <w:rFonts w:hint="eastAsia"/>
        </w:rPr>
        <w:t>。</w:t>
      </w:r>
    </w:p>
    <w:p w14:paraId="467D7C25">
      <w:pPr>
        <w:pStyle w:val="3"/>
        <w:bidi w:val="0"/>
      </w:pPr>
      <w:bookmarkStart w:id="93" w:name="_Toc91794770"/>
      <w:r>
        <w:rPr>
          <w:rFonts w:hint="eastAsia"/>
          <w:lang w:val="en-US" w:eastAsia="zh-CN"/>
        </w:rPr>
        <w:t xml:space="preserve">6.5  </w:t>
      </w:r>
      <w:r>
        <w:rPr>
          <w:rFonts w:hint="eastAsia"/>
        </w:rPr>
        <w:t>检测成果报告</w:t>
      </w:r>
      <w:bookmarkEnd w:id="93"/>
    </w:p>
    <w:p w14:paraId="016D21CF">
      <w:pPr>
        <w:pStyle w:val="4"/>
        <w:bidi w:val="0"/>
      </w:pPr>
      <w:bookmarkStart w:id="94" w:name="_Toc91794771"/>
      <w:r>
        <w:rPr>
          <w:rFonts w:hint="eastAsia"/>
          <w:lang w:val="en-US" w:eastAsia="zh-CN"/>
        </w:rPr>
        <w:t xml:space="preserve">6.5.1  </w:t>
      </w:r>
      <w:r>
        <w:rPr>
          <w:rFonts w:hint="eastAsia"/>
        </w:rPr>
        <w:t>成果验证</w:t>
      </w:r>
      <w:bookmarkEnd w:id="94"/>
    </w:p>
    <w:p w14:paraId="185E5785">
      <w:pPr>
        <w:bidi w:val="0"/>
        <w:spacing w:line="240" w:lineRule="auto"/>
        <w:ind w:left="0" w:leftChars="0" w:firstLine="0" w:firstLineChars="0"/>
        <w:rPr>
          <w:rFonts w:hint="eastAsia"/>
        </w:rPr>
      </w:pPr>
      <w:r>
        <w:rPr>
          <w:rStyle w:val="29"/>
          <w:rFonts w:hint="eastAsia"/>
          <w:lang w:val="en-US" w:eastAsia="zh-CN"/>
        </w:rPr>
        <w:t>6</w:t>
      </w:r>
      <w:r>
        <w:rPr>
          <w:rStyle w:val="29"/>
        </w:rPr>
        <w:t>.</w:t>
      </w:r>
      <w:r>
        <w:rPr>
          <w:rStyle w:val="29"/>
          <w:rFonts w:hint="eastAsia"/>
          <w:lang w:val="en-US" w:eastAsia="zh-CN"/>
        </w:rPr>
        <w:t>5.</w:t>
      </w:r>
      <w:r>
        <w:rPr>
          <w:rStyle w:val="29"/>
        </w:rPr>
        <w:t xml:space="preserve">1.1 </w:t>
      </w:r>
      <w:r>
        <w:rPr>
          <w:rStyle w:val="29"/>
          <w:rFonts w:hint="eastAsia" w:eastAsia="黑体"/>
          <w:lang w:val="en-US" w:eastAsia="zh-CN"/>
        </w:rPr>
        <w:t xml:space="preserve"> </w:t>
      </w:r>
      <w:r>
        <w:t>应根据雷达资料、定位设备综合确定异常点位，并采用辅助方法进行</w:t>
      </w:r>
      <w:r>
        <w:rPr>
          <w:rFonts w:hint="eastAsia"/>
        </w:rPr>
        <w:t>验证，宜选用钻探验证法。</w:t>
      </w:r>
    </w:p>
    <w:p w14:paraId="5FCF1676">
      <w:pPr>
        <w:bidi w:val="0"/>
        <w:spacing w:line="240" w:lineRule="auto"/>
        <w:ind w:left="0" w:leftChars="0" w:firstLine="0" w:firstLineChars="0"/>
        <w:rPr>
          <w:rFonts w:hint="eastAsia"/>
        </w:rPr>
      </w:pPr>
      <w:r>
        <w:rPr>
          <w:rStyle w:val="29"/>
          <w:rFonts w:hint="eastAsia"/>
          <w:lang w:val="en-US" w:eastAsia="zh-CN"/>
        </w:rPr>
        <w:t>6.5</w:t>
      </w:r>
      <w:r>
        <w:rPr>
          <w:rStyle w:val="29"/>
        </w:rPr>
        <w:t>.1.</w:t>
      </w:r>
      <w:r>
        <w:rPr>
          <w:rStyle w:val="29"/>
          <w:rFonts w:hint="eastAsia"/>
          <w:lang w:val="en-US" w:eastAsia="zh-CN"/>
        </w:rPr>
        <w:t>2</w:t>
      </w:r>
      <w:r>
        <w:t xml:space="preserve"> </w:t>
      </w:r>
      <w:r>
        <w:rPr>
          <w:rFonts w:hint="eastAsia"/>
          <w:lang w:val="en-US" w:eastAsia="zh-CN"/>
        </w:rPr>
        <w:t xml:space="preserve"> </w:t>
      </w:r>
      <w:r>
        <w:rPr>
          <w:rFonts w:hint="eastAsia"/>
        </w:rPr>
        <w:t>严重疏松、脱空、土洞、富水</w:t>
      </w:r>
      <w:r>
        <w:rPr>
          <w:rFonts w:hint="eastAsia"/>
          <w:lang w:val="en-US" w:eastAsia="zh-CN"/>
        </w:rPr>
        <w:t>应逐一</w:t>
      </w:r>
      <w:r>
        <w:rPr>
          <w:rFonts w:hint="eastAsia"/>
        </w:rPr>
        <w:t>验证</w:t>
      </w:r>
      <w:r>
        <w:rPr>
          <w:rFonts w:hint="eastAsia"/>
          <w:lang w:eastAsia="zh-CN"/>
        </w:rPr>
        <w:t>，</w:t>
      </w:r>
      <w:r>
        <w:rPr>
          <w:rFonts w:hint="eastAsia"/>
          <w:lang w:val="en-US" w:eastAsia="zh-CN"/>
        </w:rPr>
        <w:t>并保证每类病害验证数量不少于3处，不少于病害总数量的3%</w:t>
      </w:r>
      <w:r>
        <w:rPr>
          <w:rFonts w:hint="eastAsia"/>
        </w:rPr>
        <w:t>。</w:t>
      </w:r>
    </w:p>
    <w:p w14:paraId="75F9EA16">
      <w:pPr>
        <w:bidi w:val="0"/>
        <w:spacing w:line="240" w:lineRule="auto"/>
        <w:ind w:left="0" w:leftChars="0" w:firstLine="0" w:firstLineChars="0"/>
      </w:pPr>
      <w:r>
        <w:rPr>
          <w:rStyle w:val="29"/>
          <w:rFonts w:hint="eastAsia"/>
          <w:lang w:val="en-US" w:eastAsia="zh-CN"/>
        </w:rPr>
        <w:t>6.5</w:t>
      </w:r>
      <w:r>
        <w:rPr>
          <w:rStyle w:val="29"/>
        </w:rPr>
        <w:t>.1.</w:t>
      </w:r>
      <w:r>
        <w:rPr>
          <w:rStyle w:val="29"/>
          <w:rFonts w:hint="eastAsia"/>
          <w:lang w:val="en-US" w:eastAsia="zh-CN"/>
        </w:rPr>
        <w:t>3</w:t>
      </w:r>
      <w:r>
        <w:t xml:space="preserve"> </w:t>
      </w:r>
      <w:r>
        <w:rPr>
          <w:rFonts w:hint="eastAsia"/>
          <w:lang w:val="en-US" w:eastAsia="zh-CN"/>
        </w:rPr>
        <w:t xml:space="preserve"> </w:t>
      </w:r>
      <w:r>
        <w:t>异常点定位和钻探验证应符合下列规定：</w:t>
      </w:r>
    </w:p>
    <w:p w14:paraId="7AD82694">
      <w:pPr>
        <w:bidi w:val="0"/>
        <w:spacing w:line="240" w:lineRule="auto"/>
      </w:pPr>
      <w:r>
        <w:rPr>
          <w:rFonts w:hint="eastAsia"/>
          <w:lang w:val="en-US" w:eastAsia="zh-CN"/>
        </w:rPr>
        <w:t>a</w:t>
      </w:r>
      <w:r>
        <w:rPr>
          <w:rFonts w:hint="eastAsia"/>
          <w:lang w:eastAsia="zh-CN"/>
        </w:rPr>
        <w:t>）</w:t>
      </w:r>
      <w:r>
        <w:rPr>
          <w:rFonts w:hint="eastAsia"/>
          <w:lang w:val="en-US" w:eastAsia="zh-CN"/>
        </w:rPr>
        <w:t xml:space="preserve"> </w:t>
      </w:r>
      <w:r>
        <w:t>应对拟钻孔位置现场标注；</w:t>
      </w:r>
    </w:p>
    <w:p w14:paraId="1C96B6A2">
      <w:pPr>
        <w:bidi w:val="0"/>
        <w:spacing w:line="240" w:lineRule="auto"/>
      </w:pPr>
      <w:r>
        <w:rPr>
          <w:rFonts w:hint="eastAsia"/>
          <w:lang w:val="en-US" w:eastAsia="zh-CN"/>
        </w:rPr>
        <w:t>b</w:t>
      </w:r>
      <w:r>
        <w:rPr>
          <w:rFonts w:hint="eastAsia"/>
          <w:lang w:eastAsia="zh-CN"/>
        </w:rPr>
        <w:t>）</w:t>
      </w:r>
      <w:r>
        <w:rPr>
          <w:rFonts w:hint="eastAsia"/>
          <w:lang w:val="en-US" w:eastAsia="zh-CN"/>
        </w:rPr>
        <w:t xml:space="preserve"> </w:t>
      </w:r>
      <w:r>
        <w:t>钻探前，应查明地下管线情况，不得损坏或影响原有地下管线的运行和维护；</w:t>
      </w:r>
    </w:p>
    <w:p w14:paraId="3B650F3F">
      <w:pPr>
        <w:bidi w:val="0"/>
        <w:spacing w:line="240" w:lineRule="auto"/>
      </w:pPr>
      <w:r>
        <w:rPr>
          <w:rFonts w:hint="eastAsia"/>
          <w:lang w:val="en-US" w:eastAsia="zh-CN"/>
        </w:rPr>
        <w:t>c</w:t>
      </w:r>
      <w:r>
        <w:rPr>
          <w:rFonts w:hint="eastAsia"/>
          <w:lang w:eastAsia="zh-CN"/>
        </w:rPr>
        <w:t>）</w:t>
      </w:r>
      <w:r>
        <w:rPr>
          <w:rFonts w:hint="eastAsia"/>
          <w:lang w:val="en-US" w:eastAsia="zh-CN"/>
        </w:rPr>
        <w:t xml:space="preserve"> </w:t>
      </w:r>
      <w:r>
        <w:t>钻探前，应及时对存在道路安全隐患区域进行围挡并放置警示标志；</w:t>
      </w:r>
    </w:p>
    <w:p w14:paraId="4D056271">
      <w:pPr>
        <w:bidi w:val="0"/>
        <w:spacing w:line="240" w:lineRule="auto"/>
      </w:pPr>
      <w:r>
        <w:rPr>
          <w:rFonts w:hint="eastAsia"/>
          <w:lang w:val="en-US" w:eastAsia="zh-CN"/>
        </w:rPr>
        <w:t>d</w:t>
      </w:r>
      <w:r>
        <w:rPr>
          <w:rFonts w:hint="eastAsia"/>
          <w:lang w:eastAsia="zh-CN"/>
        </w:rPr>
        <w:t>）</w:t>
      </w:r>
      <w:r>
        <w:rPr>
          <w:rFonts w:hint="eastAsia"/>
          <w:lang w:val="en-US" w:eastAsia="zh-CN"/>
        </w:rPr>
        <w:t xml:space="preserve"> </w:t>
      </w:r>
      <w:r>
        <w:t>宜在指定位置钻孔并拍摄影像资料存档；</w:t>
      </w:r>
    </w:p>
    <w:p w14:paraId="667B3467">
      <w:pPr>
        <w:bidi w:val="0"/>
        <w:spacing w:line="240" w:lineRule="auto"/>
      </w:pPr>
      <w:r>
        <w:rPr>
          <w:rFonts w:hint="eastAsia"/>
          <w:lang w:val="en-US" w:eastAsia="zh-CN"/>
        </w:rPr>
        <w:t>e</w:t>
      </w:r>
      <w:r>
        <w:rPr>
          <w:rFonts w:hint="eastAsia"/>
          <w:lang w:eastAsia="zh-CN"/>
        </w:rPr>
        <w:t>）</w:t>
      </w:r>
      <w:r>
        <w:rPr>
          <w:rFonts w:hint="eastAsia"/>
          <w:lang w:val="en-US" w:eastAsia="zh-CN"/>
        </w:rPr>
        <w:t xml:space="preserve"> </w:t>
      </w:r>
      <w:r>
        <w:t>钻孔成果应汇总成表并留档记录；</w:t>
      </w:r>
    </w:p>
    <w:p w14:paraId="3DBB2365">
      <w:pPr>
        <w:bidi w:val="0"/>
        <w:spacing w:line="240" w:lineRule="auto"/>
      </w:pPr>
      <w:r>
        <w:rPr>
          <w:rFonts w:hint="eastAsia"/>
          <w:lang w:val="en-US" w:eastAsia="zh-CN"/>
        </w:rPr>
        <w:t>f</w:t>
      </w:r>
      <w:r>
        <w:rPr>
          <w:rFonts w:hint="eastAsia"/>
          <w:lang w:eastAsia="zh-CN"/>
        </w:rPr>
        <w:t>）</w:t>
      </w:r>
      <w:r>
        <w:rPr>
          <w:rFonts w:hint="eastAsia"/>
          <w:lang w:val="en-US" w:eastAsia="zh-CN"/>
        </w:rPr>
        <w:t xml:space="preserve"> </w:t>
      </w:r>
      <w:r>
        <w:t>道路钻孔结束后，应及时封孔。</w:t>
      </w:r>
    </w:p>
    <w:p w14:paraId="26583C03">
      <w:pPr>
        <w:pStyle w:val="4"/>
        <w:bidi w:val="0"/>
      </w:pPr>
      <w:bookmarkStart w:id="95" w:name="_Toc91794772"/>
      <w:r>
        <w:rPr>
          <w:rFonts w:hint="eastAsia"/>
          <w:lang w:val="en-US" w:eastAsia="zh-CN"/>
        </w:rPr>
        <w:t>6.5.2</w:t>
      </w:r>
      <w:r>
        <w:rPr>
          <w:rFonts w:hint="eastAsia"/>
        </w:rPr>
        <w:t>成果报告</w:t>
      </w:r>
      <w:bookmarkEnd w:id="95"/>
    </w:p>
    <w:bookmarkEnd w:id="83"/>
    <w:p w14:paraId="5F21C054">
      <w:pPr>
        <w:bidi w:val="0"/>
        <w:ind w:left="0" w:leftChars="0" w:firstLine="0" w:firstLineChars="0"/>
        <w:rPr>
          <w:rFonts w:hint="eastAsia"/>
        </w:rPr>
      </w:pPr>
      <w:r>
        <w:rPr>
          <w:rStyle w:val="29"/>
          <w:rFonts w:hint="eastAsia"/>
          <w:lang w:val="en-US" w:eastAsia="zh-CN"/>
        </w:rPr>
        <w:t>6</w:t>
      </w:r>
      <w:r>
        <w:rPr>
          <w:rStyle w:val="29"/>
        </w:rPr>
        <w:t>.</w:t>
      </w:r>
      <w:r>
        <w:rPr>
          <w:rStyle w:val="29"/>
          <w:rFonts w:hint="eastAsia"/>
          <w:lang w:val="en-US" w:eastAsia="zh-CN"/>
        </w:rPr>
        <w:t>5.</w:t>
      </w:r>
      <w:r>
        <w:rPr>
          <w:rStyle w:val="29"/>
        </w:rPr>
        <w:t>2</w:t>
      </w:r>
      <w:r>
        <w:rPr>
          <w:rStyle w:val="29"/>
          <w:rFonts w:hint="eastAsia"/>
        </w:rPr>
        <w:t>.1</w:t>
      </w:r>
      <w:r>
        <w:rPr>
          <w:rFonts w:hint="eastAsia"/>
        </w:rPr>
        <w:t xml:space="preserve"> </w:t>
      </w:r>
      <w:r>
        <w:rPr>
          <w:rFonts w:hint="eastAsia"/>
          <w:lang w:val="en-US" w:eastAsia="zh-CN"/>
        </w:rPr>
        <w:t xml:space="preserve"> </w:t>
      </w:r>
      <w:r>
        <w:t>成果报告是对地下病害体检测的工作总结，是地下病害体后续处理的重要依据。</w:t>
      </w:r>
      <w:r>
        <w:rPr>
          <w:rFonts w:hint="eastAsia"/>
        </w:rPr>
        <w:t>成果报告内容应全面，文字简练，结论明确，附图附表等资料齐全；</w:t>
      </w:r>
    </w:p>
    <w:p w14:paraId="5D776329">
      <w:pPr>
        <w:bidi w:val="0"/>
        <w:ind w:left="0" w:leftChars="0" w:firstLine="0" w:firstLineChars="0"/>
      </w:pPr>
      <w:r>
        <w:rPr>
          <w:rStyle w:val="29"/>
          <w:rFonts w:hint="eastAsia"/>
          <w:lang w:val="en-US" w:eastAsia="zh-CN"/>
        </w:rPr>
        <w:t>6</w:t>
      </w:r>
      <w:r>
        <w:rPr>
          <w:rStyle w:val="29"/>
        </w:rPr>
        <w:t>.</w:t>
      </w:r>
      <w:r>
        <w:rPr>
          <w:rStyle w:val="29"/>
          <w:rFonts w:hint="eastAsia"/>
          <w:lang w:val="en-US" w:eastAsia="zh-CN"/>
        </w:rPr>
        <w:t>5.</w:t>
      </w:r>
      <w:r>
        <w:rPr>
          <w:rStyle w:val="29"/>
        </w:rPr>
        <w:t>2</w:t>
      </w:r>
      <w:r>
        <w:rPr>
          <w:rStyle w:val="29"/>
          <w:rFonts w:hint="eastAsia"/>
        </w:rPr>
        <w:t>.2</w:t>
      </w:r>
      <w:r>
        <w:rPr>
          <w:rFonts w:hint="eastAsia"/>
        </w:rPr>
        <w:t xml:space="preserve"> </w:t>
      </w:r>
      <w:r>
        <w:rPr>
          <w:rFonts w:hint="eastAsia"/>
          <w:lang w:val="en-US" w:eastAsia="zh-CN"/>
        </w:rPr>
        <w:t xml:space="preserve"> </w:t>
      </w:r>
      <w:r>
        <w:rPr>
          <w:rFonts w:hint="eastAsia"/>
        </w:rPr>
        <w:t>采用多种检测方法完成一个工程的检测任务时，应对所获得的各种资料进行综合研究，编写综合检测成果报告；</w:t>
      </w:r>
    </w:p>
    <w:p w14:paraId="62E95B0F">
      <w:pPr>
        <w:bidi w:val="0"/>
        <w:ind w:left="0" w:leftChars="0" w:firstLine="0" w:firstLineChars="0"/>
        <w:rPr>
          <w:rFonts w:hint="eastAsia"/>
        </w:rPr>
      </w:pPr>
      <w:r>
        <w:rPr>
          <w:rStyle w:val="29"/>
          <w:rFonts w:hint="eastAsia"/>
          <w:lang w:val="en-US" w:eastAsia="zh-CN"/>
        </w:rPr>
        <w:t>6</w:t>
      </w:r>
      <w:r>
        <w:rPr>
          <w:rStyle w:val="29"/>
        </w:rPr>
        <w:t>.</w:t>
      </w:r>
      <w:r>
        <w:rPr>
          <w:rStyle w:val="29"/>
          <w:rFonts w:hint="eastAsia"/>
          <w:lang w:val="en-US" w:eastAsia="zh-CN"/>
        </w:rPr>
        <w:t>5.</w:t>
      </w:r>
      <w:r>
        <w:rPr>
          <w:rStyle w:val="29"/>
        </w:rPr>
        <w:t>2</w:t>
      </w:r>
      <w:r>
        <w:rPr>
          <w:rStyle w:val="29"/>
          <w:rFonts w:hint="eastAsia"/>
        </w:rPr>
        <w:t>.</w:t>
      </w:r>
      <w:r>
        <w:rPr>
          <w:rStyle w:val="29"/>
        </w:rPr>
        <w:t>3</w:t>
      </w:r>
      <w:r>
        <w:t xml:space="preserve"> </w:t>
      </w:r>
      <w:r>
        <w:rPr>
          <w:rFonts w:hint="eastAsia"/>
          <w:lang w:val="en-US" w:eastAsia="zh-CN"/>
        </w:rPr>
        <w:t xml:space="preserve"> </w:t>
      </w:r>
      <w:r>
        <w:rPr>
          <w:rFonts w:hint="eastAsia"/>
        </w:rPr>
        <w:t>检测报告内容应包括工程概况、</w:t>
      </w:r>
      <w:r>
        <w:rPr>
          <w:rFonts w:hint="eastAsia"/>
          <w:lang w:val="en-US" w:eastAsia="zh-CN"/>
        </w:rPr>
        <w:t>检测</w:t>
      </w:r>
      <w:r>
        <w:rPr>
          <w:rFonts w:hint="eastAsia"/>
        </w:rPr>
        <w:t>环境、检测依据、工作方法、仪器装备、检测成果、结论和建议、成果附表和附图等；</w:t>
      </w:r>
    </w:p>
    <w:p w14:paraId="74AF3B68">
      <w:pPr>
        <w:pStyle w:val="2"/>
        <w:keepNext/>
        <w:keepLines/>
        <w:pageBreakBefore w:val="0"/>
        <w:widowControl w:val="0"/>
        <w:kinsoku/>
        <w:wordWrap/>
        <w:overflowPunct/>
        <w:topLinePunct w:val="0"/>
        <w:autoSpaceDE/>
        <w:autoSpaceDN/>
        <w:bidi w:val="0"/>
        <w:adjustRightInd w:val="0"/>
        <w:snapToGrid w:val="0"/>
        <w:textAlignment w:val="auto"/>
        <w:rPr>
          <w:rFonts w:hint="eastAsia"/>
        </w:rPr>
      </w:pPr>
      <w:bookmarkStart w:id="96" w:name="_Toc9390"/>
      <w:bookmarkStart w:id="97" w:name="_Toc19552"/>
      <w:bookmarkStart w:id="98" w:name="_Toc29676"/>
      <w:bookmarkStart w:id="99" w:name="_Toc31955"/>
      <w:r>
        <w:rPr>
          <w:rFonts w:hint="eastAsia"/>
          <w:lang w:val="en-US" w:eastAsia="zh-CN"/>
        </w:rPr>
        <w:t>7</w:t>
      </w:r>
      <w:r>
        <w:rPr>
          <w:rFonts w:hint="eastAsia"/>
        </w:rPr>
        <w:t xml:space="preserve"> </w:t>
      </w:r>
      <w:r>
        <w:rPr>
          <w:rFonts w:hint="eastAsia"/>
          <w:lang w:val="en-US" w:eastAsia="zh-CN"/>
        </w:rPr>
        <w:t xml:space="preserve"> 多源路面病害数据融合</w:t>
      </w:r>
      <w:bookmarkEnd w:id="96"/>
      <w:bookmarkEnd w:id="97"/>
      <w:bookmarkEnd w:id="98"/>
      <w:bookmarkEnd w:id="99"/>
    </w:p>
    <w:p w14:paraId="698AB7F5">
      <w:pPr>
        <w:pStyle w:val="3"/>
        <w:bidi w:val="0"/>
        <w:rPr>
          <w:rFonts w:hint="eastAsia"/>
        </w:rPr>
      </w:pPr>
      <w:bookmarkStart w:id="100" w:name="_Toc4504"/>
      <w:r>
        <w:rPr>
          <w:rFonts w:hint="eastAsia"/>
          <w:lang w:val="en-US" w:eastAsia="zh-CN"/>
        </w:rPr>
        <w:t>7</w:t>
      </w:r>
      <w:r>
        <w:rPr>
          <w:rFonts w:hint="eastAsia"/>
        </w:rPr>
        <w:t>.1  表观病害平面图绘制</w:t>
      </w:r>
      <w:bookmarkEnd w:id="100"/>
    </w:p>
    <w:p w14:paraId="4E4E6A82">
      <w:pPr>
        <w:bidi w:val="0"/>
        <w:rPr>
          <w:rFonts w:hint="eastAsia"/>
          <w:lang w:val="en-US" w:eastAsia="zh-CN"/>
        </w:rPr>
      </w:pPr>
      <w:r>
        <w:rPr>
          <w:rFonts w:hint="eastAsia"/>
        </w:rPr>
        <w:t>利用高精度定位信息，绘制体现路线走向的表观病害平面分布图</w:t>
      </w:r>
      <w:r>
        <w:rPr>
          <w:rFonts w:hint="eastAsia"/>
          <w:lang w:val="en-US" w:eastAsia="zh-CN"/>
        </w:rPr>
        <w:t>。</w:t>
      </w:r>
    </w:p>
    <w:p w14:paraId="778189B0">
      <w:pPr>
        <w:pStyle w:val="4"/>
        <w:bidi w:val="0"/>
        <w:rPr>
          <w:rFonts w:hint="default"/>
          <w:lang w:val="en-US" w:eastAsia="zh-CN"/>
        </w:rPr>
      </w:pPr>
      <w:r>
        <w:rPr>
          <w:rFonts w:hint="eastAsia"/>
          <w:lang w:val="en-US" w:eastAsia="zh-CN"/>
        </w:rPr>
        <w:t>7</w:t>
      </w:r>
      <w:r>
        <w:rPr>
          <w:rFonts w:hint="eastAsia"/>
        </w:rPr>
        <w:t xml:space="preserve">.1.1 </w:t>
      </w:r>
      <w:r>
        <w:rPr>
          <w:rFonts w:hint="eastAsia"/>
          <w:lang w:val="en-US" w:eastAsia="zh-CN"/>
        </w:rPr>
        <w:t xml:space="preserve"> 坐标投影标准化</w:t>
      </w:r>
    </w:p>
    <w:p w14:paraId="332B277E">
      <w:pPr>
        <w:bidi w:val="0"/>
        <w:ind w:left="0" w:leftChars="0" w:firstLine="0" w:firstLineChars="0"/>
        <w:rPr>
          <w:rFonts w:hint="eastAsia"/>
        </w:rPr>
      </w:pPr>
      <w:r>
        <w:rPr>
          <w:rStyle w:val="29"/>
          <w:rFonts w:hint="eastAsia"/>
          <w:lang w:val="en-US" w:eastAsia="zh-CN"/>
        </w:rPr>
        <w:t>7.1.1.1</w:t>
      </w:r>
      <w:r>
        <w:rPr>
          <w:rFonts w:hint="eastAsia" w:ascii="黑体" w:hAnsi="黑体" w:eastAsia="黑体"/>
          <w:sz w:val="24"/>
          <w:lang w:val="en-US" w:eastAsia="zh-CN"/>
        </w:rPr>
        <w:t xml:space="preserve">  </w:t>
      </w:r>
      <w:r>
        <w:rPr>
          <w:rFonts w:hint="default"/>
        </w:rPr>
        <w:t>将GNSS定位数据转换至2000坐标系，平面坐标误差控制在±3cm。</w:t>
      </w:r>
    </w:p>
    <w:p w14:paraId="10F9FF1B">
      <w:pPr>
        <w:bidi w:val="0"/>
        <w:ind w:left="0" w:leftChars="0" w:firstLine="0" w:firstLineChars="0"/>
        <w:rPr>
          <w:rFonts w:hint="eastAsia" w:eastAsia="宋体"/>
          <w:lang w:eastAsia="zh-CN"/>
        </w:rPr>
      </w:pPr>
      <w:r>
        <w:rPr>
          <w:rStyle w:val="29"/>
          <w:rFonts w:hint="eastAsia"/>
          <w:lang w:val="en-US" w:eastAsia="zh-CN"/>
        </w:rPr>
        <w:t>7.1.1.2</w:t>
      </w:r>
      <w:r>
        <w:rPr>
          <w:rFonts w:hint="eastAsia" w:ascii="黑体" w:hAnsi="黑体" w:eastAsia="黑体"/>
          <w:sz w:val="24"/>
          <w:lang w:val="en-US" w:eastAsia="zh-CN"/>
        </w:rPr>
        <w:t xml:space="preserve">  </w:t>
      </w:r>
      <w:r>
        <w:rPr>
          <w:rFonts w:hint="eastAsia"/>
        </w:rPr>
        <w:t>投影椭球参数采用2000（长半轴6378137m，扁率1/298.257222101）</w:t>
      </w:r>
      <w:r>
        <w:rPr>
          <w:rFonts w:hint="eastAsia"/>
          <w:lang w:eastAsia="zh-CN"/>
        </w:rPr>
        <w:t>。</w:t>
      </w:r>
    </w:p>
    <w:p w14:paraId="3969DF2D">
      <w:pPr>
        <w:pStyle w:val="4"/>
        <w:bidi w:val="0"/>
      </w:pPr>
      <w:r>
        <w:rPr>
          <w:rFonts w:hint="eastAsia"/>
          <w:lang w:val="en-US" w:eastAsia="zh-CN"/>
        </w:rPr>
        <w:t>7.1.2  病害空间定位</w:t>
      </w:r>
    </w:p>
    <w:p w14:paraId="1F8507C3">
      <w:pPr>
        <w:bidi w:val="0"/>
        <w:ind w:left="0" w:leftChars="0" w:firstLine="0" w:firstLineChars="0"/>
        <w:rPr>
          <w:rFonts w:hint="eastAsia"/>
        </w:rPr>
      </w:pPr>
      <w:r>
        <w:rPr>
          <w:rStyle w:val="29"/>
          <w:rFonts w:hint="eastAsia"/>
          <w:lang w:val="en-US" w:eastAsia="zh-CN"/>
        </w:rPr>
        <w:t>7.1.2.1</w:t>
      </w:r>
      <w:r>
        <w:rPr>
          <w:rFonts w:hint="eastAsia"/>
          <w:lang w:val="en-US" w:eastAsia="zh-CN"/>
        </w:rPr>
        <w:t xml:space="preserve">  </w:t>
      </w:r>
      <w:r>
        <w:rPr>
          <w:rFonts w:hint="eastAsia"/>
        </w:rPr>
        <w:t>基于</w:t>
      </w:r>
      <w:r>
        <w:rPr>
          <w:rFonts w:hint="eastAsia"/>
          <w:lang w:val="en-US" w:eastAsia="zh-CN"/>
        </w:rPr>
        <w:t>多功能</w:t>
      </w:r>
      <w:r>
        <w:rPr>
          <w:rFonts w:hint="eastAsia"/>
        </w:rPr>
        <w:t>检测车</w:t>
      </w:r>
      <w:r>
        <w:rPr>
          <w:rFonts w:hint="default"/>
        </w:rPr>
        <w:t>IMU+GNSS组合定位系统（航向角精度0.1°），通过时空同步标定（时间同步误差&lt;1ms）关联4K影像与地理坐标。</w:t>
      </w:r>
    </w:p>
    <w:p w14:paraId="7EC3F9D2">
      <w:pPr>
        <w:bidi w:val="0"/>
        <w:ind w:left="0" w:leftChars="0" w:firstLine="0" w:firstLineChars="0"/>
        <w:rPr>
          <w:rFonts w:hint="eastAsia"/>
        </w:rPr>
      </w:pPr>
      <w:r>
        <w:rPr>
          <w:rStyle w:val="29"/>
          <w:rFonts w:hint="eastAsia"/>
          <w:lang w:val="en-US" w:eastAsia="zh-CN"/>
        </w:rPr>
        <w:t>7.1.2.2</w:t>
      </w:r>
      <w:r>
        <w:rPr>
          <w:rFonts w:hint="eastAsia"/>
          <w:lang w:val="en-US" w:eastAsia="zh-CN"/>
        </w:rPr>
        <w:t xml:space="preserve">  </w:t>
      </w:r>
      <w:r>
        <w:rPr>
          <w:rFonts w:hint="eastAsia"/>
        </w:rPr>
        <w:t>采用</w:t>
      </w:r>
      <w:r>
        <w:rPr>
          <w:rFonts w:hint="default"/>
        </w:rPr>
        <w:t>线性参考系统（LRS），沿道路中心线进行动态分段</w:t>
      </w:r>
      <w:r>
        <w:rPr>
          <w:rFonts w:hint="eastAsia"/>
        </w:rPr>
        <w:t>桩号匹配</w:t>
      </w:r>
      <w:r>
        <w:rPr>
          <w:rFonts w:hint="eastAsia"/>
          <w:lang w:val="en-US" w:eastAsia="zh-CN"/>
        </w:rPr>
        <w:t>计算</w:t>
      </w:r>
      <w:r>
        <w:rPr>
          <w:rFonts w:hint="default"/>
        </w:rPr>
        <w:t>。</w:t>
      </w:r>
    </w:p>
    <w:p w14:paraId="4A59F9AA">
      <w:pPr>
        <w:pStyle w:val="4"/>
        <w:bidi w:val="0"/>
        <w:rPr>
          <w:rFonts w:hint="eastAsia"/>
        </w:rPr>
      </w:pPr>
      <w:r>
        <w:rPr>
          <w:rFonts w:hint="eastAsia"/>
          <w:lang w:val="en-US" w:eastAsia="zh-CN"/>
        </w:rPr>
        <w:t>7</w:t>
      </w:r>
      <w:r>
        <w:rPr>
          <w:rFonts w:hint="eastAsia"/>
        </w:rPr>
        <w:t xml:space="preserve">.1.3 </w:t>
      </w:r>
      <w:r>
        <w:rPr>
          <w:rFonts w:hint="eastAsia"/>
          <w:lang w:val="en-US" w:eastAsia="zh-CN"/>
        </w:rPr>
        <w:t xml:space="preserve"> 制图规范化</w:t>
      </w:r>
    </w:p>
    <w:p w14:paraId="1C19059C">
      <w:pPr>
        <w:pStyle w:val="14"/>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Times New Roman"/>
          <w:kern w:val="2"/>
          <w:sz w:val="21"/>
          <w:szCs w:val="24"/>
          <w:lang w:val="en-US" w:eastAsia="zh-CN" w:bidi="ar-SA"/>
        </w:rPr>
      </w:pPr>
      <w:r>
        <w:rPr>
          <w:rStyle w:val="29"/>
          <w:rFonts w:hint="eastAsia"/>
          <w:lang w:val="en-US" w:eastAsia="zh-CN"/>
        </w:rPr>
        <w:t>7.1.3.1</w:t>
      </w:r>
      <w:r>
        <w:rPr>
          <w:rFonts w:hint="eastAsia" w:cs="Times New Roman"/>
          <w:kern w:val="2"/>
          <w:sz w:val="21"/>
          <w:szCs w:val="24"/>
          <w:lang w:val="en-US" w:eastAsia="zh-CN" w:bidi="ar-SA"/>
        </w:rPr>
        <w:t xml:space="preserve">  </w:t>
      </w:r>
      <w:r>
        <w:rPr>
          <w:rFonts w:hint="eastAsia" w:ascii="宋体" w:hAnsi="宋体" w:eastAsia="宋体" w:cs="Times New Roman"/>
          <w:kern w:val="2"/>
          <w:sz w:val="21"/>
          <w:szCs w:val="24"/>
          <w:lang w:val="en-US" w:eastAsia="zh-CN" w:bidi="ar-SA"/>
        </w:rPr>
        <w:t>按JTG5421定义病害分类编码（如裂缝C01、坑槽P02），填充样式采用AutoCAD CTB颜色映射表。</w:t>
      </w:r>
    </w:p>
    <w:p w14:paraId="7908D40F">
      <w:pPr>
        <w:pStyle w:val="14"/>
        <w:keepNext w:val="0"/>
        <w:keepLines w:val="0"/>
        <w:widowControl/>
        <w:suppressLineNumbers w:val="0"/>
        <w:spacing w:before="0" w:beforeAutospacing="0" w:after="0" w:afterAutospacing="0"/>
        <w:ind w:left="0" w:leftChars="0" w:right="0" w:firstLine="0" w:firstLineChars="0"/>
        <w:jc w:val="left"/>
      </w:pPr>
      <w:r>
        <w:rPr>
          <w:rStyle w:val="29"/>
          <w:rFonts w:hint="eastAsia"/>
          <w:lang w:val="en-US" w:eastAsia="zh-CN"/>
        </w:rPr>
        <w:t>7.1.3.2</w:t>
      </w:r>
      <w:r>
        <w:rPr>
          <w:rFonts w:hint="eastAsia" w:cs="Times New Roman"/>
          <w:kern w:val="2"/>
          <w:sz w:val="21"/>
          <w:szCs w:val="24"/>
          <w:lang w:val="en-US" w:eastAsia="zh-CN" w:bidi="ar-SA"/>
        </w:rPr>
        <w:t xml:space="preserve">  </w:t>
      </w:r>
      <w:r>
        <w:rPr>
          <w:rFonts w:hint="default" w:ascii="宋体" w:hAnsi="宋体" w:eastAsia="宋体" w:cs="Times New Roman"/>
          <w:kern w:val="2"/>
          <w:sz w:val="21"/>
          <w:szCs w:val="24"/>
          <w:lang w:val="en-US" w:eastAsia="zh-CN" w:bidi="ar-SA"/>
        </w:rPr>
        <w:t>病害属性字段包括</w:t>
      </w:r>
      <w:r>
        <w:rPr>
          <w:rFonts w:hint="eastAsia" w:ascii="宋体" w:hAnsi="宋体" w:eastAsia="宋体" w:cs="Times New Roman"/>
          <w:kern w:val="2"/>
          <w:sz w:val="21"/>
          <w:szCs w:val="24"/>
          <w:lang w:val="en-US" w:eastAsia="zh-CN" w:bidi="ar-SA"/>
        </w:rPr>
        <w:t>桩号范围</w:t>
      </w:r>
      <w:r>
        <w:rPr>
          <w:rFonts w:hint="default" w:ascii="宋体" w:hAnsi="宋体" w:eastAsia="宋体" w:cs="Times New Roman"/>
          <w:kern w:val="2"/>
          <w:sz w:val="21"/>
          <w:szCs w:val="24"/>
          <w:lang w:val="en-US" w:eastAsia="zh-CN" w:bidi="ar-SA"/>
        </w:rPr>
        <w:t>、最大宽度、延伸方向（角度值），存储为DWG扩展属性（XDATA）。</w:t>
      </w:r>
    </w:p>
    <w:p w14:paraId="1EC72CA2">
      <w:pPr>
        <w:pStyle w:val="4"/>
        <w:keepNext w:val="0"/>
        <w:keepLines w:val="0"/>
        <w:widowControl/>
        <w:suppressLineNumbers w:val="0"/>
        <w:spacing w:line="23" w:lineRule="atLeast"/>
        <w:ind w:left="0" w:firstLine="0"/>
        <w:rPr>
          <w:rFonts w:ascii="Segoe UI" w:hAnsi="Segoe UI" w:eastAsia="Segoe UI" w:cs="Segoe UI"/>
          <w:i w:val="0"/>
          <w:iCs w:val="0"/>
          <w:caps w:val="0"/>
          <w:color w:val="404040"/>
          <w:spacing w:val="0"/>
        </w:rPr>
      </w:pPr>
      <w:bookmarkStart w:id="101" w:name="_Toc19259"/>
      <w:r>
        <w:rPr>
          <w:rFonts w:hint="eastAsia"/>
          <w:lang w:val="en-US" w:eastAsia="zh-CN"/>
        </w:rPr>
        <w:t>7</w:t>
      </w:r>
      <w:r>
        <w:rPr>
          <w:rFonts w:hint="eastAsia"/>
        </w:rPr>
        <w:t>.2</w:t>
      </w:r>
      <w:r>
        <w:rPr>
          <w:rFonts w:hint="eastAsia" w:ascii="黑体" w:hAnsi="黑体" w:eastAsia="黑体" w:cs="Times New Roman"/>
          <w:kern w:val="2"/>
          <w:sz w:val="21"/>
          <w:szCs w:val="24"/>
          <w:lang w:val="en-US" w:eastAsia="zh-CN" w:bidi="ar-SA"/>
        </w:rPr>
        <w:t xml:space="preserve"> </w:t>
      </w:r>
      <w:bookmarkEnd w:id="101"/>
      <w:r>
        <w:rPr>
          <w:rFonts w:hint="default" w:ascii="黑体" w:hAnsi="黑体" w:eastAsia="黑体" w:cs="Times New Roman"/>
          <w:kern w:val="2"/>
          <w:sz w:val="21"/>
          <w:szCs w:val="24"/>
          <w:lang w:val="en-US" w:eastAsia="zh-CN" w:bidi="ar-SA"/>
        </w:rPr>
        <w:t xml:space="preserve"> 激光点云数据处理</w:t>
      </w:r>
    </w:p>
    <w:p w14:paraId="52371183">
      <w:pPr>
        <w:bidi w:val="0"/>
        <w:ind w:left="0" w:leftChars="0" w:firstLine="0" w:firstLineChars="0"/>
        <w:rPr>
          <w:rFonts w:hint="eastAsia"/>
        </w:rPr>
      </w:pPr>
      <w:r>
        <w:rPr>
          <w:rStyle w:val="29"/>
          <w:rFonts w:hint="eastAsia"/>
          <w:lang w:val="en-US" w:eastAsia="zh-CN"/>
        </w:rPr>
        <w:t>7</w:t>
      </w:r>
      <w:r>
        <w:rPr>
          <w:rStyle w:val="29"/>
          <w:rFonts w:hint="eastAsia"/>
        </w:rPr>
        <w:t>.2.1</w:t>
      </w:r>
      <w:r>
        <w:rPr>
          <w:rFonts w:hint="eastAsia"/>
        </w:rPr>
        <w:t xml:space="preserve"> </w:t>
      </w:r>
      <w:r>
        <w:rPr>
          <w:rFonts w:hint="eastAsia"/>
          <w:lang w:val="en-US" w:eastAsia="zh-CN"/>
        </w:rPr>
        <w:t xml:space="preserve"> </w:t>
      </w:r>
      <w:r>
        <w:rPr>
          <w:rFonts w:hint="eastAsia"/>
        </w:rPr>
        <w:t>点云数据预处理后，重新转换投影至2000坐标系。</w:t>
      </w:r>
    </w:p>
    <w:p w14:paraId="2884B139">
      <w:pPr>
        <w:bidi w:val="0"/>
        <w:ind w:left="0" w:leftChars="0" w:firstLine="0" w:firstLineChars="0"/>
        <w:rPr>
          <w:rFonts w:hint="eastAsia"/>
        </w:rPr>
      </w:pPr>
      <w:r>
        <w:rPr>
          <w:rStyle w:val="29"/>
          <w:rFonts w:hint="eastAsia"/>
          <w:lang w:val="en-US" w:eastAsia="zh-CN"/>
        </w:rPr>
        <w:t>7</w:t>
      </w:r>
      <w:r>
        <w:rPr>
          <w:rStyle w:val="29"/>
          <w:rFonts w:hint="eastAsia"/>
        </w:rPr>
        <w:t>.2.2</w:t>
      </w:r>
      <w:r>
        <w:rPr>
          <w:rFonts w:hint="eastAsia"/>
        </w:rPr>
        <w:t xml:space="preserve"> </w:t>
      </w:r>
      <w:r>
        <w:rPr>
          <w:rFonts w:hint="eastAsia"/>
          <w:lang w:val="en-US" w:eastAsia="zh-CN"/>
        </w:rPr>
        <w:t xml:space="preserve"> </w:t>
      </w:r>
      <w:r>
        <w:rPr>
          <w:rFonts w:hint="eastAsia"/>
        </w:rPr>
        <w:t>点云数据成果输出宜采用绘图软件，输出过程为文件格式转换、在绘图软件中连成线框图。</w:t>
      </w:r>
    </w:p>
    <w:p w14:paraId="1A3ECBC4">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a</w:t>
      </w:r>
      <w:r>
        <w:rPr>
          <w:rFonts w:hint="eastAsia"/>
          <w:lang w:eastAsia="zh-CN"/>
        </w:rPr>
        <w:t>）</w:t>
      </w:r>
      <w:r>
        <w:rPr>
          <w:rFonts w:hint="eastAsia"/>
          <w:lang w:val="en-US" w:eastAsia="zh-CN"/>
        </w:rPr>
        <w:t xml:space="preserve"> </w:t>
      </w:r>
      <w:r>
        <w:rPr>
          <w:rFonts w:hint="eastAsia" w:asciiTheme="minorEastAsia" w:hAnsiTheme="minorEastAsia" w:eastAsiaTheme="minorEastAsia" w:cstheme="minorEastAsia"/>
        </w:rPr>
        <w:t>在软件环境下对三维点云数据进行优化处理，然后将点云数据保存为通用交换格式，以便转入到绘图软件中进行处理；</w:t>
      </w:r>
    </w:p>
    <w:p w14:paraId="7E435B4D">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b</w:t>
      </w:r>
      <w:r>
        <w:rPr>
          <w:rFonts w:hint="eastAsia"/>
          <w:lang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提取三维特征点坐标并输出文本文档，</w:t>
      </w:r>
      <w:r>
        <w:rPr>
          <w:rFonts w:hint="eastAsia" w:asciiTheme="minorEastAsia" w:hAnsiTheme="minorEastAsia" w:eastAsiaTheme="minorEastAsia" w:cstheme="minorEastAsia"/>
          <w:lang w:val="en-US" w:eastAsia="zh-CN"/>
        </w:rPr>
        <w:t>满足</w:t>
      </w:r>
      <w:r>
        <w:rPr>
          <w:rFonts w:hint="eastAsia" w:asciiTheme="minorEastAsia" w:hAnsiTheme="minorEastAsia" w:eastAsiaTheme="minorEastAsia" w:cstheme="minorEastAsia"/>
        </w:rPr>
        <w:t>直接读取</w:t>
      </w:r>
      <w:r>
        <w:rPr>
          <w:rFonts w:hint="eastAsia" w:asciiTheme="minorEastAsia" w:hAnsiTheme="minorEastAsia" w:eastAsiaTheme="minorEastAsia" w:cstheme="minorEastAsia"/>
          <w:lang w:val="en-US" w:eastAsia="zh-CN"/>
        </w:rPr>
        <w:t>要求</w:t>
      </w:r>
      <w:r>
        <w:rPr>
          <w:rFonts w:hint="eastAsia" w:asciiTheme="minorEastAsia" w:hAnsiTheme="minorEastAsia" w:eastAsiaTheme="minorEastAsia" w:cstheme="minorEastAsia"/>
        </w:rPr>
        <w:t>。</w:t>
      </w:r>
    </w:p>
    <w:p w14:paraId="432D7D2D">
      <w:pPr>
        <w:bidi w:val="0"/>
        <w:ind w:left="0" w:leftChars="0" w:firstLine="0" w:firstLineChars="0"/>
        <w:rPr>
          <w:rFonts w:hint="eastAsia"/>
        </w:rPr>
      </w:pPr>
      <w:r>
        <w:rPr>
          <w:rStyle w:val="29"/>
          <w:rFonts w:hint="eastAsia"/>
          <w:lang w:val="en-US" w:eastAsia="zh-CN"/>
        </w:rPr>
        <w:t>7</w:t>
      </w:r>
      <w:r>
        <w:rPr>
          <w:rStyle w:val="29"/>
          <w:rFonts w:hint="eastAsia"/>
        </w:rPr>
        <w:t>.2.3</w:t>
      </w:r>
      <w:r>
        <w:rPr>
          <w:rStyle w:val="29"/>
          <w:rFonts w:hint="eastAsia" w:eastAsia="黑体"/>
          <w:lang w:val="en-US" w:eastAsia="zh-CN"/>
        </w:rPr>
        <w:t xml:space="preserve">  </w:t>
      </w:r>
      <w:r>
        <w:rPr>
          <w:rFonts w:hint="eastAsia"/>
        </w:rPr>
        <w:t>在绘图软件中进行文件分块</w:t>
      </w:r>
      <w:r>
        <w:rPr>
          <w:rFonts w:hint="eastAsia"/>
          <w:lang w:eastAsia="zh-CN"/>
        </w:rPr>
        <w:t>，</w:t>
      </w:r>
      <w:r>
        <w:rPr>
          <w:rFonts w:hint="eastAsia"/>
        </w:rPr>
        <w:t>调入数据。并参照特征点和扫描到的点云数据绘制线框图。</w:t>
      </w:r>
    </w:p>
    <w:p w14:paraId="6A6ADB36">
      <w:pPr>
        <w:bidi w:val="0"/>
        <w:ind w:left="0" w:leftChars="0" w:firstLine="0" w:firstLineChars="0"/>
        <w:rPr>
          <w:rFonts w:hint="eastAsia"/>
        </w:rPr>
      </w:pPr>
      <w:r>
        <w:rPr>
          <w:rStyle w:val="29"/>
          <w:rFonts w:hint="eastAsia"/>
          <w:lang w:val="en-US" w:eastAsia="zh-CN"/>
        </w:rPr>
        <w:t>7</w:t>
      </w:r>
      <w:r>
        <w:rPr>
          <w:rStyle w:val="29"/>
          <w:rFonts w:hint="eastAsia"/>
        </w:rPr>
        <w:t>.2.4</w:t>
      </w:r>
      <w:r>
        <w:rPr>
          <w:rFonts w:hint="eastAsia"/>
          <w:lang w:val="en-US" w:eastAsia="zh-CN"/>
        </w:rPr>
        <w:t xml:space="preserve">  </w:t>
      </w:r>
      <w:r>
        <w:rPr>
          <w:rFonts w:hint="eastAsia"/>
        </w:rPr>
        <w:t>三维建模应注意以下事项：</w:t>
      </w:r>
    </w:p>
    <w:p w14:paraId="3FE57EC3">
      <w:pPr>
        <w:tabs>
          <w:tab w:val="left" w:pos="396"/>
        </w:tabs>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a</w:t>
      </w:r>
      <w:r>
        <w:rPr>
          <w:rFonts w:hint="eastAsia"/>
          <w:lang w:eastAsia="zh-CN"/>
        </w:rPr>
        <w:t>）</w:t>
      </w:r>
      <w:r>
        <w:rPr>
          <w:rFonts w:hint="eastAsia" w:asciiTheme="minorEastAsia" w:hAnsiTheme="minorEastAsia" w:eastAsiaTheme="minorEastAsia" w:cstheme="minorEastAsia"/>
          <w:lang w:val="en-US" w:eastAsia="zh-CN"/>
        </w:rPr>
        <w:t xml:space="preserve"> 采用</w:t>
      </w:r>
      <w:r>
        <w:rPr>
          <w:rFonts w:hint="eastAsia" w:asciiTheme="minorEastAsia" w:hAnsiTheme="minorEastAsia" w:eastAsiaTheme="minorEastAsia" w:cstheme="minorEastAsia"/>
        </w:rPr>
        <w:t>多种工具进行路面空间位置信息的标注；</w:t>
      </w:r>
    </w:p>
    <w:p w14:paraId="6FAF5D09">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b</w:t>
      </w:r>
      <w:r>
        <w:rPr>
          <w:rFonts w:hint="eastAsia"/>
          <w:lang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根据路面材料颜色进行实体渲染；</w:t>
      </w:r>
    </w:p>
    <w:p w14:paraId="406C7D5B">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c</w:t>
      </w:r>
      <w:r>
        <w:rPr>
          <w:rFonts w:hint="eastAsia"/>
          <w:lang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生成平面图、纵断面图和横断面图；</w:t>
      </w:r>
    </w:p>
    <w:p w14:paraId="07E723EF">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d</w:t>
      </w:r>
      <w:r>
        <w:rPr>
          <w:rFonts w:hint="eastAsia"/>
          <w:lang w:eastAsia="zh-CN"/>
        </w:rPr>
        <w:t>）</w:t>
      </w:r>
      <w:r>
        <w:rPr>
          <w:rFonts w:hint="eastAsia" w:asciiTheme="minorEastAsia" w:hAnsiTheme="minorEastAsia" w:eastAsiaTheme="minorEastAsia" w:cstheme="minorEastAsia"/>
          <w:lang w:val="en-US" w:eastAsia="zh-CN"/>
        </w:rPr>
        <w:t xml:space="preserve"> 在</w:t>
      </w:r>
      <w:r>
        <w:rPr>
          <w:rFonts w:hint="eastAsia" w:asciiTheme="minorEastAsia" w:hAnsiTheme="minorEastAsia" w:eastAsiaTheme="minorEastAsia" w:cstheme="minorEastAsia"/>
        </w:rPr>
        <w:t>绘图软件中读取任一点高程、任一断面的横坡、纵坡，根据</w:t>
      </w:r>
      <w:r>
        <w:rPr>
          <w:rFonts w:hint="eastAsia" w:asciiTheme="minorEastAsia" w:hAnsiTheme="minorEastAsia" w:eastAsiaTheme="minorEastAsia" w:cstheme="minorEastAsia"/>
          <w:lang w:val="en-US" w:eastAsia="zh-CN"/>
        </w:rPr>
        <w:t>平面坐标拟合道路平面线形参数</w:t>
      </w:r>
      <w:r>
        <w:rPr>
          <w:rFonts w:hint="eastAsia" w:asciiTheme="minorEastAsia" w:hAnsiTheme="minorEastAsia" w:eastAsiaTheme="minorEastAsia" w:cstheme="minorEastAsia"/>
        </w:rPr>
        <w:t>。</w:t>
      </w:r>
    </w:p>
    <w:p w14:paraId="39DB289B">
      <w:pPr>
        <w:bidi w:val="0"/>
        <w:ind w:left="0" w:leftChars="0" w:firstLine="0" w:firstLineChars="0"/>
        <w:rPr>
          <w:rFonts w:hint="eastAsia"/>
        </w:rPr>
      </w:pPr>
      <w:r>
        <w:rPr>
          <w:rStyle w:val="29"/>
          <w:rFonts w:hint="eastAsia"/>
          <w:lang w:val="en-US" w:eastAsia="zh-CN"/>
        </w:rPr>
        <w:t>7</w:t>
      </w:r>
      <w:r>
        <w:rPr>
          <w:rStyle w:val="29"/>
          <w:rFonts w:hint="eastAsia"/>
        </w:rPr>
        <w:t>.2.5</w:t>
      </w:r>
      <w:r>
        <w:rPr>
          <w:rStyle w:val="29"/>
          <w:rFonts w:hint="eastAsia" w:eastAsia="黑体"/>
          <w:lang w:val="en-US" w:eastAsia="zh-CN"/>
        </w:rPr>
        <w:t xml:space="preserve">  </w:t>
      </w:r>
      <w:r>
        <w:rPr>
          <w:rFonts w:hint="eastAsia"/>
        </w:rPr>
        <w:t>激光点云数据经处理输出后，可在成果图中直接读取路面高程、横坡、宽度等信息，并与设计信息对比，形成测量报告。</w:t>
      </w:r>
    </w:p>
    <w:p w14:paraId="0D7457F7">
      <w:pPr>
        <w:bidi w:val="0"/>
        <w:ind w:left="0" w:leftChars="0" w:firstLine="0" w:firstLineChars="0"/>
        <w:rPr>
          <w:rFonts w:hint="eastAsia"/>
        </w:rPr>
      </w:pPr>
      <w:r>
        <w:rPr>
          <w:rStyle w:val="29"/>
          <w:rFonts w:hint="eastAsia"/>
          <w:lang w:val="en-US" w:eastAsia="zh-CN"/>
        </w:rPr>
        <w:t>7</w:t>
      </w:r>
      <w:r>
        <w:rPr>
          <w:rStyle w:val="29"/>
          <w:rFonts w:hint="eastAsia"/>
        </w:rPr>
        <w:t>.2.6</w:t>
      </w:r>
      <w:r>
        <w:rPr>
          <w:rStyle w:val="29"/>
          <w:rFonts w:hint="eastAsia" w:eastAsia="黑体"/>
          <w:lang w:val="en-US" w:eastAsia="zh-CN"/>
        </w:rPr>
        <w:t xml:space="preserve">  </w:t>
      </w:r>
      <w:r>
        <w:rPr>
          <w:rFonts w:hint="eastAsia"/>
        </w:rPr>
        <w:t>可在成果图中</w:t>
      </w:r>
      <w:r>
        <w:rPr>
          <w:rFonts w:hint="eastAsia"/>
          <w:lang w:val="en-US" w:eastAsia="zh-CN"/>
        </w:rPr>
        <w:t>人工或智能</w:t>
      </w:r>
      <w:r>
        <w:rPr>
          <w:rFonts w:hint="eastAsia"/>
          <w:color w:val="auto"/>
          <w:lang w:val="en-US" w:eastAsia="zh-CN"/>
        </w:rPr>
        <w:t>识别</w:t>
      </w:r>
      <w:r>
        <w:rPr>
          <w:rFonts w:hint="eastAsia"/>
        </w:rPr>
        <w:t>路面</w:t>
      </w:r>
      <w:r>
        <w:rPr>
          <w:rFonts w:hint="eastAsia"/>
          <w:lang w:val="en-US" w:eastAsia="zh-CN"/>
        </w:rPr>
        <w:t>颠簸</w:t>
      </w:r>
      <w:r>
        <w:rPr>
          <w:rFonts w:hint="eastAsia"/>
        </w:rPr>
        <w:t>、积水以及</w:t>
      </w:r>
      <w:r>
        <w:rPr>
          <w:rFonts w:hint="eastAsia"/>
          <w:lang w:val="en-US" w:eastAsia="zh-CN"/>
        </w:rPr>
        <w:t>沉陷</w:t>
      </w:r>
      <w:r>
        <w:rPr>
          <w:rFonts w:hint="eastAsia"/>
        </w:rPr>
        <w:t>路段。</w:t>
      </w:r>
    </w:p>
    <w:p w14:paraId="140A632C">
      <w:pPr>
        <w:pStyle w:val="3"/>
        <w:bidi w:val="0"/>
        <w:rPr>
          <w:rFonts w:hint="eastAsia"/>
        </w:rPr>
      </w:pPr>
      <w:bookmarkStart w:id="102" w:name="_Toc27721"/>
      <w:r>
        <w:rPr>
          <w:rFonts w:hint="eastAsia"/>
          <w:lang w:val="en-US" w:eastAsia="zh-CN"/>
        </w:rPr>
        <w:t>7</w:t>
      </w:r>
      <w:r>
        <w:rPr>
          <w:rFonts w:hint="eastAsia"/>
        </w:rPr>
        <w:t>.3  雷达病害数据融合</w:t>
      </w:r>
      <w:bookmarkEnd w:id="102"/>
    </w:p>
    <w:p w14:paraId="30FBAA39">
      <w:pPr>
        <w:bidi w:val="0"/>
        <w:ind w:left="0" w:leftChars="0" w:firstLine="0" w:firstLineChars="0"/>
        <w:rPr>
          <w:rFonts w:hint="eastAsia"/>
        </w:rPr>
      </w:pPr>
      <w:r>
        <w:rPr>
          <w:rStyle w:val="29"/>
          <w:rFonts w:hint="eastAsia"/>
          <w:lang w:val="en-US" w:eastAsia="zh-CN"/>
        </w:rPr>
        <w:t>7</w:t>
      </w:r>
      <w:r>
        <w:rPr>
          <w:rStyle w:val="29"/>
          <w:rFonts w:hint="eastAsia"/>
        </w:rPr>
        <w:t>.3.1</w:t>
      </w:r>
      <w:r>
        <w:rPr>
          <w:rStyle w:val="29"/>
          <w:rFonts w:hint="eastAsia" w:eastAsia="黑体"/>
          <w:lang w:val="en-US" w:eastAsia="zh-CN"/>
        </w:rPr>
        <w:t xml:space="preserve"> </w:t>
      </w:r>
      <w:r>
        <w:rPr>
          <w:rFonts w:hint="eastAsia"/>
        </w:rPr>
        <w:t xml:space="preserve"> </w:t>
      </w:r>
      <w:r>
        <w:rPr>
          <w:rFonts w:hint="eastAsia" w:asciiTheme="minorEastAsia" w:hAnsiTheme="minorEastAsia" w:eastAsiaTheme="minorEastAsia" w:cstheme="minorEastAsia"/>
        </w:rPr>
        <w:t>三维探地雷达</w:t>
      </w:r>
      <w:r>
        <w:rPr>
          <w:rFonts w:hint="eastAsia" w:asciiTheme="minorEastAsia" w:hAnsiTheme="minorEastAsia" w:eastAsiaTheme="minorEastAsia" w:cstheme="minorEastAsia"/>
          <w:lang w:val="en-US" w:eastAsia="zh-CN"/>
        </w:rPr>
        <w:t>采集的</w:t>
      </w:r>
      <w:r>
        <w:rPr>
          <w:rFonts w:hint="eastAsia" w:asciiTheme="minorEastAsia" w:hAnsiTheme="minorEastAsia" w:eastAsiaTheme="minorEastAsia" w:cstheme="minorEastAsia"/>
        </w:rPr>
        <w:t>高精度定位信息，投影至2000坐标系</w:t>
      </w:r>
      <w:r>
        <w:rPr>
          <w:rFonts w:hint="eastAsia"/>
        </w:rPr>
        <w:t>。</w:t>
      </w:r>
    </w:p>
    <w:p w14:paraId="68CD12C1">
      <w:pPr>
        <w:bidi w:val="0"/>
        <w:ind w:left="0" w:leftChars="0" w:firstLine="0" w:firstLineChars="0"/>
        <w:rPr>
          <w:rFonts w:hint="eastAsia" w:eastAsia="宋体"/>
          <w:lang w:eastAsia="zh-CN"/>
        </w:rPr>
      </w:pPr>
      <w:r>
        <w:rPr>
          <w:rStyle w:val="29"/>
          <w:rFonts w:hint="eastAsia"/>
          <w:lang w:val="en-US" w:eastAsia="zh-CN"/>
        </w:rPr>
        <w:t>7</w:t>
      </w:r>
      <w:r>
        <w:rPr>
          <w:rStyle w:val="29"/>
          <w:rFonts w:hint="eastAsia"/>
        </w:rPr>
        <w:t>.3.2</w:t>
      </w:r>
      <w:r>
        <w:rPr>
          <w:rFonts w:hint="eastAsia"/>
        </w:rPr>
        <w:t xml:space="preserve"> </w:t>
      </w:r>
      <w:r>
        <w:rPr>
          <w:rFonts w:hint="eastAsia"/>
          <w:lang w:val="en-US" w:eastAsia="zh-CN"/>
        </w:rPr>
        <w:t xml:space="preserve"> </w:t>
      </w:r>
      <w:r>
        <w:rPr>
          <w:rFonts w:hint="eastAsia"/>
        </w:rPr>
        <w:t>雷达处理软件识别病害后</w:t>
      </w:r>
      <w:r>
        <w:rPr>
          <w:rFonts w:hint="eastAsia"/>
          <w:lang w:val="en-US" w:eastAsia="zh-CN"/>
        </w:rPr>
        <w:t>应</w:t>
      </w:r>
      <w:r>
        <w:rPr>
          <w:rFonts w:hint="eastAsia"/>
        </w:rPr>
        <w:t>导出包含坐标信息的雷达病害矢量图、病害信息卡，病害统计表</w:t>
      </w:r>
      <w:r>
        <w:rPr>
          <w:rFonts w:hint="eastAsia"/>
          <w:lang w:eastAsia="zh-CN"/>
        </w:rPr>
        <w:t>。</w:t>
      </w:r>
    </w:p>
    <w:p w14:paraId="42716439">
      <w:pPr>
        <w:bidi w:val="0"/>
        <w:ind w:left="0" w:leftChars="0" w:firstLine="0" w:firstLineChars="0"/>
        <w:rPr>
          <w:rFonts w:hint="eastAsia"/>
        </w:rPr>
      </w:pPr>
      <w:r>
        <w:rPr>
          <w:rStyle w:val="29"/>
          <w:rFonts w:hint="eastAsia"/>
          <w:lang w:val="en-US" w:eastAsia="zh-CN"/>
        </w:rPr>
        <w:t>7</w:t>
      </w:r>
      <w:r>
        <w:rPr>
          <w:rStyle w:val="29"/>
          <w:rFonts w:hint="eastAsia"/>
        </w:rPr>
        <w:t>.3.</w:t>
      </w:r>
      <w:r>
        <w:rPr>
          <w:rStyle w:val="29"/>
          <w:rFonts w:hint="eastAsia" w:eastAsia="黑体"/>
          <w:lang w:val="en-US" w:eastAsia="zh-CN"/>
        </w:rPr>
        <w:t>3</w:t>
      </w:r>
      <w:r>
        <w:rPr>
          <w:rFonts w:hint="eastAsia"/>
        </w:rPr>
        <w:t xml:space="preserve"> </w:t>
      </w:r>
      <w:r>
        <w:rPr>
          <w:rFonts w:hint="eastAsia"/>
          <w:lang w:val="en-US" w:eastAsia="zh-CN"/>
        </w:rPr>
        <w:t xml:space="preserve"> </w:t>
      </w:r>
      <w:r>
        <w:rPr>
          <w:rFonts w:hint="eastAsia"/>
        </w:rPr>
        <w:t>病害统计表应包含病害的类型、桩号位置、经纬度、病害平面范围、病害深度范围等。</w:t>
      </w:r>
    </w:p>
    <w:p w14:paraId="79E00006">
      <w:pPr>
        <w:pStyle w:val="3"/>
        <w:bidi w:val="0"/>
        <w:rPr>
          <w:rFonts w:hint="eastAsia"/>
          <w:lang w:val="en-US" w:eastAsia="zh-CN"/>
        </w:rPr>
      </w:pPr>
      <w:bookmarkStart w:id="103" w:name="_Toc19821"/>
      <w:r>
        <w:rPr>
          <w:rFonts w:hint="eastAsia"/>
          <w:lang w:val="en-US" w:eastAsia="zh-CN"/>
        </w:rPr>
        <w:t>7.4  多源数据的加载</w:t>
      </w:r>
      <w:bookmarkEnd w:id="103"/>
    </w:p>
    <w:p w14:paraId="34A2962B">
      <w:pPr>
        <w:bidi w:val="0"/>
        <w:rPr>
          <w:rFonts w:hint="eastAsia"/>
          <w:lang w:eastAsia="zh-CN"/>
        </w:rPr>
      </w:pPr>
      <w:r>
        <w:rPr>
          <w:rFonts w:hint="eastAsia"/>
        </w:rPr>
        <w:t>转换至同一坐标系的三维激光点云、路面表观病害</w:t>
      </w:r>
      <w:r>
        <w:rPr>
          <w:rFonts w:hint="eastAsia"/>
          <w:lang w:val="en-US" w:eastAsia="zh-CN"/>
        </w:rPr>
        <w:t>及路面隐伏病害数据</w:t>
      </w:r>
      <w:r>
        <w:rPr>
          <w:rFonts w:hint="eastAsia"/>
        </w:rPr>
        <w:t>，利用多模态数据处理软件、globalmapper等软件进行加载，在软件中进行数字化设计。融合成果需支持三维动态展示，并可通过GIS平台实现病害空间分布分析</w:t>
      </w:r>
      <w:r>
        <w:rPr>
          <w:rFonts w:hint="eastAsia"/>
          <w:lang w:eastAsia="zh-CN"/>
        </w:rPr>
        <w:t>。</w:t>
      </w:r>
    </w:p>
    <w:p w14:paraId="11F5D7B6">
      <w:pPr>
        <w:bidi w:val="0"/>
        <w:rPr>
          <w:rFonts w:hint="eastAsia"/>
          <w:lang w:eastAsia="zh-CN"/>
        </w:rPr>
      </w:pPr>
    </w:p>
    <w:p w14:paraId="1AD71CA9">
      <w:pPr>
        <w:rPr>
          <w:rFonts w:hint="eastAsia"/>
          <w:lang w:eastAsia="zh-CN"/>
        </w:rPr>
      </w:pPr>
      <w:r>
        <w:rPr>
          <w:rFonts w:hint="eastAsia"/>
          <w:lang w:eastAsia="zh-CN"/>
        </w:rPr>
        <w:br w:type="page"/>
      </w:r>
    </w:p>
    <w:p w14:paraId="69C0EB02">
      <w:pPr>
        <w:bidi w:val="0"/>
        <w:rPr>
          <w:rFonts w:hint="eastAsia"/>
          <w:lang w:eastAsia="zh-CN"/>
        </w:rPr>
        <w:sectPr>
          <w:headerReference r:id="rId20" w:type="default"/>
          <w:footerReference r:id="rId22" w:type="default"/>
          <w:headerReference r:id="rId21" w:type="even"/>
          <w:footerReference r:id="rId23" w:type="even"/>
          <w:pgSz w:w="11906" w:h="16838"/>
          <w:pgMar w:top="1417" w:right="1134" w:bottom="1134" w:left="1417" w:header="1134" w:footer="1134"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6"/>
        <w:tblW w:w="5015" w:type="pct"/>
        <w:tblInd w:w="0" w:type="dxa"/>
        <w:tblLayout w:type="fixed"/>
        <w:tblCellMar>
          <w:top w:w="0" w:type="dxa"/>
          <w:left w:w="108" w:type="dxa"/>
          <w:bottom w:w="0" w:type="dxa"/>
          <w:right w:w="108" w:type="dxa"/>
        </w:tblCellMar>
      </w:tblPr>
      <w:tblGrid>
        <w:gridCol w:w="2254"/>
        <w:gridCol w:w="3199"/>
        <w:gridCol w:w="477"/>
        <w:gridCol w:w="2505"/>
        <w:gridCol w:w="1165"/>
      </w:tblGrid>
      <w:tr w14:paraId="2940DAD4">
        <w:tblPrEx>
          <w:tblCellMar>
            <w:top w:w="0" w:type="dxa"/>
            <w:left w:w="108" w:type="dxa"/>
            <w:bottom w:w="0" w:type="dxa"/>
            <w:right w:w="108" w:type="dxa"/>
          </w:tblCellMar>
        </w:tblPrEx>
        <w:trPr>
          <w:trHeight w:val="951" w:hRule="atLeast"/>
        </w:trPr>
        <w:tc>
          <w:tcPr>
            <w:tcW w:w="5000" w:type="pct"/>
            <w:gridSpan w:val="5"/>
            <w:tcBorders>
              <w:top w:val="nil"/>
              <w:left w:val="nil"/>
              <w:bottom w:val="nil"/>
              <w:right w:val="nil"/>
            </w:tcBorders>
            <w:shd w:val="clear" w:color="auto" w:fill="auto"/>
            <w:vAlign w:val="center"/>
          </w:tcPr>
          <w:p w14:paraId="4054A7E1">
            <w:pPr>
              <w:pStyle w:val="2"/>
              <w:keepNext/>
              <w:keepLines/>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lang w:val="en-US" w:eastAsia="zh-CN"/>
              </w:rPr>
            </w:pPr>
            <w:bookmarkStart w:id="104" w:name="_Toc8320"/>
            <w:bookmarkStart w:id="105" w:name="_Toc30961"/>
            <w:bookmarkStart w:id="106" w:name="_Toc9988"/>
            <w:r>
              <w:rPr>
                <w:rFonts w:hint="eastAsia"/>
              </w:rPr>
              <w:t>附录</w:t>
            </w:r>
            <w:r>
              <w:rPr>
                <w:rFonts w:hint="eastAsia"/>
                <w:lang w:val="en-US" w:eastAsia="zh-CN"/>
              </w:rPr>
              <w:t>A</w:t>
            </w:r>
            <w:bookmarkEnd w:id="104"/>
            <w:bookmarkEnd w:id="105"/>
            <w:bookmarkEnd w:id="106"/>
          </w:p>
          <w:p w14:paraId="1E04FB4B">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ascii="仿宋_GB2312" w:hAnsi="仿宋_GB2312" w:eastAsia="仿宋_GB2312" w:cs="仿宋_GB2312"/>
                <w:kern w:val="0"/>
                <w:sz w:val="20"/>
                <w:szCs w:val="20"/>
              </w:rPr>
            </w:pPr>
            <w:bookmarkStart w:id="107" w:name="_Toc5556"/>
            <w:bookmarkStart w:id="108" w:name="_Toc8649"/>
            <w:r>
              <w:rPr>
                <w:rFonts w:hint="eastAsia"/>
              </w:rPr>
              <w:t>路面(平整度、构造深度、车辙、破损、跳车、磨耗）试验检测记录表</w:t>
            </w:r>
            <w:bookmarkEnd w:id="107"/>
            <w:bookmarkEnd w:id="108"/>
          </w:p>
        </w:tc>
      </w:tr>
      <w:tr w14:paraId="44DD1EB5">
        <w:tblPrEx>
          <w:tblCellMar>
            <w:top w:w="0" w:type="dxa"/>
            <w:left w:w="108" w:type="dxa"/>
            <w:bottom w:w="0" w:type="dxa"/>
            <w:right w:w="108" w:type="dxa"/>
          </w:tblCellMar>
        </w:tblPrEx>
        <w:trPr>
          <w:trHeight w:val="637" w:hRule="atLeast"/>
        </w:trPr>
        <w:tc>
          <w:tcPr>
            <w:tcW w:w="2840" w:type="pct"/>
            <w:gridSpan w:val="2"/>
            <w:tcBorders>
              <w:top w:val="nil"/>
              <w:left w:val="nil"/>
              <w:bottom w:val="nil"/>
              <w:right w:val="nil"/>
            </w:tcBorders>
            <w:shd w:val="clear" w:color="auto" w:fill="auto"/>
            <w:noWrap/>
            <w:vAlign w:val="center"/>
          </w:tcPr>
          <w:p w14:paraId="092F471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检测单位名称:</w:t>
            </w:r>
          </w:p>
        </w:tc>
        <w:tc>
          <w:tcPr>
            <w:tcW w:w="248" w:type="pct"/>
            <w:tcBorders>
              <w:top w:val="nil"/>
              <w:left w:val="nil"/>
              <w:bottom w:val="nil"/>
              <w:right w:val="nil"/>
            </w:tcBorders>
            <w:shd w:val="clear" w:color="auto" w:fill="auto"/>
            <w:vAlign w:val="center"/>
          </w:tcPr>
          <w:p w14:paraId="09A1D8B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tc>
        <w:tc>
          <w:tcPr>
            <w:tcW w:w="1304" w:type="pct"/>
            <w:tcBorders>
              <w:top w:val="nil"/>
              <w:left w:val="nil"/>
              <w:bottom w:val="nil"/>
              <w:right w:val="nil"/>
            </w:tcBorders>
            <w:shd w:val="clear" w:color="auto" w:fill="auto"/>
            <w:vAlign w:val="center"/>
          </w:tcPr>
          <w:p w14:paraId="7ABBD6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记录编号:</w:t>
            </w:r>
          </w:p>
        </w:tc>
        <w:tc>
          <w:tcPr>
            <w:tcW w:w="606" w:type="pct"/>
            <w:tcBorders>
              <w:top w:val="nil"/>
              <w:left w:val="nil"/>
              <w:bottom w:val="nil"/>
              <w:right w:val="nil"/>
            </w:tcBorders>
            <w:shd w:val="clear" w:color="auto" w:fill="auto"/>
            <w:vAlign w:val="center"/>
          </w:tcPr>
          <w:p w14:paraId="607E14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p>
        </w:tc>
      </w:tr>
      <w:tr w14:paraId="50244C29">
        <w:trPr>
          <w:trHeight w:val="592" w:hRule="atLeast"/>
        </w:trPr>
        <w:tc>
          <w:tcPr>
            <w:tcW w:w="1173" w:type="pct"/>
            <w:tcBorders>
              <w:top w:val="single" w:color="auto" w:sz="8" w:space="0"/>
              <w:left w:val="single" w:color="auto" w:sz="8" w:space="0"/>
              <w:bottom w:val="single" w:color="auto" w:sz="4" w:space="0"/>
              <w:right w:val="single" w:color="000000" w:sz="4" w:space="0"/>
            </w:tcBorders>
            <w:shd w:val="clear" w:color="auto" w:fill="auto"/>
            <w:vAlign w:val="center"/>
          </w:tcPr>
          <w:p w14:paraId="3D8778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工程名称</w:t>
            </w:r>
          </w:p>
        </w:tc>
        <w:tc>
          <w:tcPr>
            <w:tcW w:w="1914" w:type="pct"/>
            <w:gridSpan w:val="2"/>
            <w:tcBorders>
              <w:top w:val="single" w:color="auto" w:sz="8" w:space="0"/>
              <w:left w:val="nil"/>
              <w:bottom w:val="single" w:color="auto" w:sz="4" w:space="0"/>
              <w:right w:val="nil"/>
            </w:tcBorders>
            <w:shd w:val="clear" w:color="auto" w:fill="auto"/>
            <w:vAlign w:val="center"/>
          </w:tcPr>
          <w:p w14:paraId="37DA53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c>
          <w:tcPr>
            <w:tcW w:w="1304" w:type="pct"/>
            <w:tcBorders>
              <w:top w:val="single" w:color="auto" w:sz="8" w:space="0"/>
              <w:left w:val="single" w:color="auto" w:sz="4" w:space="0"/>
              <w:bottom w:val="single" w:color="auto" w:sz="4" w:space="0"/>
              <w:right w:val="single" w:color="000000" w:sz="4" w:space="0"/>
            </w:tcBorders>
            <w:shd w:val="clear" w:color="auto" w:fill="auto"/>
            <w:vAlign w:val="center"/>
          </w:tcPr>
          <w:p w14:paraId="167C87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任务编号</w:t>
            </w:r>
          </w:p>
        </w:tc>
        <w:tc>
          <w:tcPr>
            <w:tcW w:w="606" w:type="pct"/>
            <w:tcBorders>
              <w:top w:val="single" w:color="auto" w:sz="8" w:space="0"/>
              <w:left w:val="nil"/>
              <w:bottom w:val="single" w:color="auto" w:sz="4" w:space="0"/>
              <w:right w:val="single" w:color="000000" w:sz="8" w:space="0"/>
            </w:tcBorders>
            <w:shd w:val="clear" w:color="auto" w:fill="auto"/>
            <w:vAlign w:val="center"/>
          </w:tcPr>
          <w:p w14:paraId="12579B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5C794D42">
        <w:tblPrEx>
          <w:tblCellMar>
            <w:top w:w="0" w:type="dxa"/>
            <w:left w:w="108" w:type="dxa"/>
            <w:bottom w:w="0" w:type="dxa"/>
            <w:right w:w="108" w:type="dxa"/>
          </w:tblCellMar>
        </w:tblPrEx>
        <w:trPr>
          <w:trHeight w:val="559" w:hRule="atLeast"/>
        </w:trPr>
        <w:tc>
          <w:tcPr>
            <w:tcW w:w="1173" w:type="pct"/>
            <w:tcBorders>
              <w:top w:val="single" w:color="auto" w:sz="4" w:space="0"/>
              <w:left w:val="single" w:color="auto" w:sz="8" w:space="0"/>
              <w:bottom w:val="single" w:color="auto" w:sz="4" w:space="0"/>
              <w:right w:val="single" w:color="000000" w:sz="4" w:space="0"/>
            </w:tcBorders>
            <w:shd w:val="clear" w:color="auto" w:fill="auto"/>
            <w:vAlign w:val="center"/>
          </w:tcPr>
          <w:p w14:paraId="3842C1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工程部位/用途</w:t>
            </w:r>
          </w:p>
        </w:tc>
        <w:tc>
          <w:tcPr>
            <w:tcW w:w="1914" w:type="pct"/>
            <w:gridSpan w:val="2"/>
            <w:tcBorders>
              <w:top w:val="single" w:color="auto" w:sz="4" w:space="0"/>
              <w:left w:val="nil"/>
              <w:bottom w:val="single" w:color="auto" w:sz="4" w:space="0"/>
              <w:right w:val="nil"/>
            </w:tcBorders>
            <w:shd w:val="clear" w:color="auto" w:fill="auto"/>
            <w:vAlign w:val="center"/>
          </w:tcPr>
          <w:p w14:paraId="6FC49F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c>
          <w:tcPr>
            <w:tcW w:w="1304" w:type="pct"/>
            <w:tcBorders>
              <w:top w:val="nil"/>
              <w:left w:val="single" w:color="auto" w:sz="4" w:space="0"/>
              <w:bottom w:val="single" w:color="auto" w:sz="4" w:space="0"/>
              <w:right w:val="single" w:color="000000" w:sz="4" w:space="0"/>
            </w:tcBorders>
            <w:shd w:val="clear" w:color="auto" w:fill="auto"/>
            <w:vAlign w:val="center"/>
          </w:tcPr>
          <w:p w14:paraId="09F665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试验检测日期</w:t>
            </w:r>
          </w:p>
        </w:tc>
        <w:tc>
          <w:tcPr>
            <w:tcW w:w="606" w:type="pct"/>
            <w:tcBorders>
              <w:top w:val="nil"/>
              <w:left w:val="nil"/>
              <w:bottom w:val="nil"/>
              <w:right w:val="single" w:color="000000" w:sz="8" w:space="0"/>
            </w:tcBorders>
            <w:shd w:val="clear" w:color="auto" w:fill="auto"/>
            <w:noWrap/>
            <w:vAlign w:val="bottom"/>
          </w:tcPr>
          <w:p w14:paraId="587859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p>
        </w:tc>
      </w:tr>
      <w:tr w14:paraId="52D855D5">
        <w:trPr>
          <w:trHeight w:val="559" w:hRule="atLeast"/>
        </w:trPr>
        <w:tc>
          <w:tcPr>
            <w:tcW w:w="1173" w:type="pct"/>
            <w:tcBorders>
              <w:top w:val="single" w:color="auto" w:sz="4" w:space="0"/>
              <w:left w:val="single" w:color="auto" w:sz="8" w:space="0"/>
              <w:bottom w:val="single" w:color="auto" w:sz="4" w:space="0"/>
              <w:right w:val="single" w:color="000000" w:sz="4" w:space="0"/>
            </w:tcBorders>
            <w:shd w:val="clear" w:color="auto" w:fill="auto"/>
            <w:vAlign w:val="center"/>
          </w:tcPr>
          <w:p w14:paraId="1D98CF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检测依据</w:t>
            </w:r>
          </w:p>
        </w:tc>
        <w:tc>
          <w:tcPr>
            <w:tcW w:w="1914" w:type="pct"/>
            <w:gridSpan w:val="2"/>
            <w:tcBorders>
              <w:top w:val="single" w:color="auto" w:sz="4" w:space="0"/>
              <w:left w:val="nil"/>
              <w:bottom w:val="single" w:color="auto" w:sz="4" w:space="0"/>
              <w:right w:val="nil"/>
            </w:tcBorders>
            <w:shd w:val="clear" w:color="auto" w:fill="auto"/>
            <w:vAlign w:val="center"/>
          </w:tcPr>
          <w:p w14:paraId="7A6FCC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c>
          <w:tcPr>
            <w:tcW w:w="1304" w:type="pct"/>
            <w:tcBorders>
              <w:top w:val="nil"/>
              <w:left w:val="single" w:color="auto" w:sz="4" w:space="0"/>
              <w:bottom w:val="single" w:color="auto" w:sz="4" w:space="0"/>
              <w:right w:val="single" w:color="000000" w:sz="4" w:space="0"/>
            </w:tcBorders>
            <w:shd w:val="clear" w:color="auto" w:fill="auto"/>
            <w:vAlign w:val="center"/>
          </w:tcPr>
          <w:p w14:paraId="60BAC5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判定依据</w:t>
            </w:r>
          </w:p>
        </w:tc>
        <w:tc>
          <w:tcPr>
            <w:tcW w:w="606" w:type="pct"/>
            <w:tcBorders>
              <w:top w:val="single" w:color="auto" w:sz="4" w:space="0"/>
              <w:left w:val="nil"/>
              <w:bottom w:val="single" w:color="auto" w:sz="4" w:space="0"/>
              <w:right w:val="single" w:color="000000" w:sz="8" w:space="0"/>
            </w:tcBorders>
            <w:shd w:val="clear" w:color="auto" w:fill="auto"/>
            <w:vAlign w:val="center"/>
          </w:tcPr>
          <w:p w14:paraId="0C2BBA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032BBFF8">
        <w:tblPrEx>
          <w:tblCellMar>
            <w:top w:w="0" w:type="dxa"/>
            <w:left w:w="108" w:type="dxa"/>
            <w:bottom w:w="0" w:type="dxa"/>
            <w:right w:w="108" w:type="dxa"/>
          </w:tblCellMar>
        </w:tblPrEx>
        <w:trPr>
          <w:trHeight w:val="1241" w:hRule="atLeast"/>
        </w:trPr>
        <w:tc>
          <w:tcPr>
            <w:tcW w:w="1173" w:type="pct"/>
            <w:tcBorders>
              <w:top w:val="single" w:color="auto" w:sz="4" w:space="0"/>
              <w:left w:val="single" w:color="auto" w:sz="8" w:space="0"/>
              <w:bottom w:val="single" w:color="auto" w:sz="4" w:space="0"/>
              <w:right w:val="single" w:color="000000" w:sz="4" w:space="0"/>
            </w:tcBorders>
            <w:shd w:val="clear" w:color="auto" w:fill="auto"/>
            <w:vAlign w:val="center"/>
          </w:tcPr>
          <w:p w14:paraId="4AA4C2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试验条件及现场情况描述</w:t>
            </w:r>
          </w:p>
        </w:tc>
        <w:tc>
          <w:tcPr>
            <w:tcW w:w="3826" w:type="pct"/>
            <w:gridSpan w:val="4"/>
            <w:tcBorders>
              <w:top w:val="single" w:color="auto" w:sz="4" w:space="0"/>
              <w:left w:val="nil"/>
              <w:bottom w:val="single" w:color="auto" w:sz="4" w:space="0"/>
              <w:right w:val="single" w:color="000000" w:sz="8" w:space="0"/>
            </w:tcBorders>
            <w:shd w:val="clear" w:color="auto" w:fill="auto"/>
            <w:vAlign w:val="center"/>
          </w:tcPr>
          <w:p w14:paraId="5B519D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2CA84A81">
        <w:tblPrEx>
          <w:tblCellMar>
            <w:top w:w="0" w:type="dxa"/>
            <w:left w:w="108" w:type="dxa"/>
            <w:bottom w:w="0" w:type="dxa"/>
            <w:right w:w="108" w:type="dxa"/>
          </w:tblCellMar>
        </w:tblPrEx>
        <w:trPr>
          <w:trHeight w:val="680" w:hRule="atLeast"/>
        </w:trPr>
        <w:tc>
          <w:tcPr>
            <w:tcW w:w="1173" w:type="pct"/>
            <w:tcBorders>
              <w:top w:val="single" w:color="auto" w:sz="4" w:space="0"/>
              <w:left w:val="single" w:color="auto" w:sz="8" w:space="0"/>
              <w:bottom w:val="nil"/>
              <w:right w:val="single" w:color="000000" w:sz="4" w:space="0"/>
            </w:tcBorders>
            <w:shd w:val="clear" w:color="auto" w:fill="auto"/>
            <w:vAlign w:val="center"/>
          </w:tcPr>
          <w:p w14:paraId="70DB3A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主要仪器设备名称及编号</w:t>
            </w:r>
          </w:p>
        </w:tc>
        <w:tc>
          <w:tcPr>
            <w:tcW w:w="3826" w:type="pct"/>
            <w:gridSpan w:val="4"/>
            <w:tcBorders>
              <w:top w:val="single" w:color="auto" w:sz="4" w:space="0"/>
              <w:left w:val="nil"/>
              <w:bottom w:val="nil"/>
              <w:right w:val="single" w:color="000000" w:sz="8" w:space="0"/>
            </w:tcBorders>
            <w:shd w:val="clear" w:color="auto" w:fill="auto"/>
            <w:noWrap/>
            <w:vAlign w:val="center"/>
          </w:tcPr>
          <w:p w14:paraId="63279B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5A225299">
        <w:tblPrEx>
          <w:tblCellMar>
            <w:top w:w="0" w:type="dxa"/>
            <w:left w:w="108" w:type="dxa"/>
            <w:bottom w:w="0" w:type="dxa"/>
            <w:right w:w="108" w:type="dxa"/>
          </w:tblCellMar>
        </w:tblPrEx>
        <w:trPr>
          <w:trHeight w:val="1074" w:hRule="atLeast"/>
        </w:trPr>
        <w:tc>
          <w:tcPr>
            <w:tcW w:w="1173" w:type="pct"/>
            <w:tcBorders>
              <w:top w:val="single" w:color="auto" w:sz="8" w:space="0"/>
              <w:left w:val="single" w:color="auto" w:sz="8" w:space="0"/>
              <w:bottom w:val="single" w:color="auto" w:sz="4" w:space="0"/>
              <w:right w:val="single" w:color="auto" w:sz="4" w:space="0"/>
            </w:tcBorders>
            <w:shd w:val="clear" w:color="auto" w:fill="auto"/>
            <w:vAlign w:val="center"/>
          </w:tcPr>
          <w:p w14:paraId="2D2546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存档路径</w:t>
            </w:r>
          </w:p>
        </w:tc>
        <w:tc>
          <w:tcPr>
            <w:tcW w:w="3826" w:type="pct"/>
            <w:gridSpan w:val="4"/>
            <w:tcBorders>
              <w:top w:val="single" w:color="auto" w:sz="8" w:space="0"/>
              <w:left w:val="nil"/>
              <w:bottom w:val="single" w:color="auto" w:sz="4" w:space="0"/>
              <w:right w:val="single" w:color="000000" w:sz="8" w:space="0"/>
            </w:tcBorders>
            <w:shd w:val="clear" w:color="auto" w:fill="auto"/>
            <w:vAlign w:val="center"/>
          </w:tcPr>
          <w:p w14:paraId="0EBA57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4842715C">
        <w:tblPrEx>
          <w:tblCellMar>
            <w:top w:w="0" w:type="dxa"/>
            <w:left w:w="108" w:type="dxa"/>
            <w:bottom w:w="0" w:type="dxa"/>
            <w:right w:w="108" w:type="dxa"/>
          </w:tblCellMar>
        </w:tblPrEx>
        <w:trPr>
          <w:trHeight w:val="588" w:hRule="atLeast"/>
        </w:trPr>
        <w:tc>
          <w:tcPr>
            <w:tcW w:w="1173" w:type="pct"/>
            <w:tcBorders>
              <w:top w:val="single" w:color="auto" w:sz="4" w:space="0"/>
              <w:left w:val="single" w:color="auto" w:sz="8" w:space="0"/>
              <w:bottom w:val="single" w:color="auto" w:sz="4" w:space="0"/>
              <w:right w:val="single" w:color="000000" w:sz="4" w:space="0"/>
            </w:tcBorders>
            <w:shd w:val="clear" w:color="auto" w:fill="auto"/>
            <w:noWrap/>
            <w:vAlign w:val="center"/>
          </w:tcPr>
          <w:p w14:paraId="3EDC04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存档文件名</w:t>
            </w:r>
          </w:p>
        </w:tc>
        <w:tc>
          <w:tcPr>
            <w:tcW w:w="3826" w:type="pct"/>
            <w:gridSpan w:val="4"/>
            <w:tcBorders>
              <w:top w:val="single" w:color="auto" w:sz="4" w:space="0"/>
              <w:left w:val="nil"/>
              <w:bottom w:val="single" w:color="auto" w:sz="4" w:space="0"/>
              <w:right w:val="single" w:color="000000" w:sz="8" w:space="0"/>
            </w:tcBorders>
            <w:shd w:val="clear" w:color="auto" w:fill="auto"/>
            <w:vAlign w:val="center"/>
          </w:tcPr>
          <w:p w14:paraId="107AB2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4AF4B3B0">
        <w:tblPrEx>
          <w:tblCellMar>
            <w:top w:w="0" w:type="dxa"/>
            <w:left w:w="108" w:type="dxa"/>
            <w:bottom w:w="0" w:type="dxa"/>
            <w:right w:w="108" w:type="dxa"/>
          </w:tblCellMar>
        </w:tblPrEx>
        <w:trPr>
          <w:trHeight w:val="5671" w:hRule="atLeast"/>
        </w:trPr>
        <w:tc>
          <w:tcPr>
            <w:tcW w:w="5000" w:type="pct"/>
            <w:gridSpan w:val="5"/>
            <w:tcBorders>
              <w:top w:val="single" w:color="auto" w:sz="4" w:space="0"/>
              <w:left w:val="single" w:color="auto" w:sz="8" w:space="0"/>
              <w:bottom w:val="single" w:color="auto" w:sz="8" w:space="0"/>
              <w:right w:val="single" w:color="000000" w:sz="8" w:space="0"/>
            </w:tcBorders>
            <w:shd w:val="clear" w:color="auto" w:fill="auto"/>
          </w:tcPr>
          <w:p w14:paraId="1FD0DED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附加声明：</w:t>
            </w:r>
          </w:p>
          <w:p w14:paraId="2EFECA6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4A9E848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5AE4D0B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77E4405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35AA3C8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5EF55E7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6805A50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362D3CC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7B6E073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7EC6BF9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40BD571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6308C557">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0BB950B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0685626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061465E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2D7B7BA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tc>
      </w:tr>
      <w:tr w14:paraId="358A8611">
        <w:tblPrEx>
          <w:tblCellMar>
            <w:top w:w="0" w:type="dxa"/>
            <w:left w:w="108" w:type="dxa"/>
            <w:bottom w:w="0" w:type="dxa"/>
            <w:right w:w="108" w:type="dxa"/>
          </w:tblCellMar>
        </w:tblPrEx>
        <w:trPr>
          <w:trHeight w:val="444" w:hRule="atLeast"/>
        </w:trPr>
        <w:tc>
          <w:tcPr>
            <w:tcW w:w="5000" w:type="pct"/>
            <w:gridSpan w:val="5"/>
            <w:tcBorders>
              <w:top w:val="nil"/>
              <w:left w:val="nil"/>
              <w:bottom w:val="nil"/>
              <w:right w:val="nil"/>
            </w:tcBorders>
            <w:shd w:val="clear" w:color="auto" w:fill="auto"/>
            <w:noWrap/>
            <w:vAlign w:val="center"/>
          </w:tcPr>
          <w:p w14:paraId="367F153B">
            <w:pPr>
              <w:keepNext w:val="0"/>
              <w:keepLines w:val="0"/>
              <w:pageBreakBefore w:val="0"/>
              <w:widowControl w:val="0"/>
              <w:kinsoku/>
              <w:wordWrap w:val="0"/>
              <w:overflowPunct/>
              <w:topLinePunct w:val="0"/>
              <w:autoSpaceDE/>
              <w:autoSpaceDN/>
              <w:bidi w:val="0"/>
              <w:adjustRightInd/>
              <w:snapToGrid/>
              <w:ind w:left="900" w:leftChars="0" w:right="0" w:hanging="900" w:hangingChars="500"/>
              <w:jc w:val="left"/>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检测:</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记录:</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复核:</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日期：    年    月</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日</w:t>
            </w:r>
          </w:p>
        </w:tc>
      </w:tr>
    </w:tbl>
    <w:p w14:paraId="5828DBA1">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lang w:val="en-US" w:eastAsia="zh-CN"/>
        </w:rPr>
      </w:pPr>
      <w:r>
        <w:rPr>
          <w:rFonts w:hint="eastAsia"/>
          <w:szCs w:val="28"/>
        </w:rPr>
        <w:br w:type="page"/>
      </w:r>
      <w:bookmarkStart w:id="109" w:name="_Toc15009"/>
      <w:bookmarkStart w:id="110" w:name="_Toc13364"/>
      <w:bookmarkStart w:id="111" w:name="_Toc17010"/>
      <w:r>
        <w:rPr>
          <w:rFonts w:hint="eastAsia"/>
        </w:rPr>
        <w:t>附录</w:t>
      </w:r>
      <w:r>
        <w:rPr>
          <w:rFonts w:hint="eastAsia"/>
          <w:lang w:val="en-US" w:eastAsia="zh-CN"/>
        </w:rPr>
        <w:t>B</w:t>
      </w:r>
      <w:bookmarkEnd w:id="109"/>
      <w:bookmarkEnd w:id="110"/>
      <w:bookmarkEnd w:id="111"/>
    </w:p>
    <w:p w14:paraId="21669C50">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12" w:name="_Toc685"/>
      <w:bookmarkStart w:id="113" w:name="_Toc2257"/>
      <w:bookmarkStart w:id="114" w:name="_Toc6386"/>
      <w:bookmarkStart w:id="115" w:name="_Toc12420"/>
      <w:bookmarkStart w:id="116" w:name="_Toc9494"/>
      <w:r>
        <w:rPr>
          <w:rFonts w:hint="eastAsia"/>
          <w:lang w:val="en-US" w:eastAsia="zh-CN"/>
        </w:rPr>
        <w:t>路面三维激光点云数据采集记录表</w:t>
      </w:r>
      <w:bookmarkEnd w:id="112"/>
      <w:bookmarkEnd w:id="113"/>
      <w:bookmarkEnd w:id="114"/>
      <w:bookmarkEnd w:id="115"/>
      <w:bookmarkEnd w:id="116"/>
    </w:p>
    <w:tbl>
      <w:tblPr>
        <w:tblStyle w:val="16"/>
        <w:tblW w:w="4994" w:type="pct"/>
        <w:tblInd w:w="0" w:type="dxa"/>
        <w:tblLayout w:type="autofit"/>
        <w:tblCellMar>
          <w:top w:w="0" w:type="dxa"/>
          <w:left w:w="108" w:type="dxa"/>
          <w:bottom w:w="0" w:type="dxa"/>
          <w:right w:w="108" w:type="dxa"/>
        </w:tblCellMar>
      </w:tblPr>
      <w:tblGrid>
        <w:gridCol w:w="9571"/>
      </w:tblGrid>
      <w:tr w14:paraId="25D0B518">
        <w:tblPrEx>
          <w:tblCellMar>
            <w:top w:w="0" w:type="dxa"/>
            <w:left w:w="108" w:type="dxa"/>
            <w:bottom w:w="0" w:type="dxa"/>
            <w:right w:w="108" w:type="dxa"/>
          </w:tblCellMar>
        </w:tblPrEx>
        <w:trPr>
          <w:trHeight w:val="12974" w:hRule="atLeast"/>
        </w:trPr>
        <w:tc>
          <w:tcPr>
            <w:tcW w:w="5000" w:type="pct"/>
            <w:tcBorders>
              <w:top w:val="nil"/>
              <w:left w:val="nil"/>
              <w:bottom w:val="nil"/>
              <w:right w:val="nil"/>
            </w:tcBorders>
            <w:shd w:val="clear" w:color="auto" w:fill="auto"/>
            <w:noWrap/>
            <w:vAlign w:val="center"/>
          </w:tcPr>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13"/>
              <w:gridCol w:w="1096"/>
              <w:gridCol w:w="2032"/>
              <w:gridCol w:w="1905"/>
              <w:gridCol w:w="2509"/>
            </w:tblGrid>
            <w:tr w14:paraId="539AA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99" w:hRule="atLeast"/>
              </w:trPr>
              <w:tc>
                <w:tcPr>
                  <w:tcW w:w="969" w:type="pct"/>
                  <w:tcBorders>
                    <w:top w:val="nil"/>
                    <w:left w:val="nil"/>
                    <w:bottom w:val="nil"/>
                    <w:right w:val="nil"/>
                  </w:tcBorders>
                  <w:shd w:val="clear" w:color="auto" w:fill="auto"/>
                  <w:noWrap/>
                  <w:vAlign w:val="center"/>
                </w:tcPr>
                <w:p w14:paraId="751DE4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检测单位名称:</w:t>
                  </w:r>
                </w:p>
              </w:tc>
              <w:tc>
                <w:tcPr>
                  <w:tcW w:w="1672" w:type="pct"/>
                  <w:gridSpan w:val="2"/>
                  <w:tcBorders>
                    <w:top w:val="nil"/>
                    <w:left w:val="nil"/>
                    <w:bottom w:val="nil"/>
                    <w:right w:val="nil"/>
                  </w:tcBorders>
                  <w:shd w:val="clear" w:color="auto" w:fill="auto"/>
                  <w:noWrap/>
                  <w:vAlign w:val="center"/>
                </w:tcPr>
                <w:p w14:paraId="7459B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p>
              </w:tc>
              <w:tc>
                <w:tcPr>
                  <w:tcW w:w="1018" w:type="pct"/>
                  <w:tcBorders>
                    <w:top w:val="nil"/>
                    <w:left w:val="nil"/>
                    <w:bottom w:val="nil"/>
                    <w:right w:val="nil"/>
                  </w:tcBorders>
                  <w:shd w:val="clear" w:color="auto" w:fill="auto"/>
                  <w:vAlign w:val="center"/>
                </w:tcPr>
                <w:p w14:paraId="3DD506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记录编号:</w:t>
                  </w:r>
                </w:p>
              </w:tc>
              <w:tc>
                <w:tcPr>
                  <w:tcW w:w="1339" w:type="pct"/>
                  <w:tcBorders>
                    <w:top w:val="nil"/>
                    <w:left w:val="nil"/>
                    <w:bottom w:val="nil"/>
                    <w:right w:val="nil"/>
                  </w:tcBorders>
                  <w:shd w:val="clear" w:color="auto" w:fill="auto"/>
                  <w:vAlign w:val="center"/>
                </w:tcPr>
                <w:p w14:paraId="743B42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3EEEE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969" w:type="pct"/>
                  <w:tcBorders>
                    <w:top w:val="single" w:color="auto" w:sz="8" w:space="0"/>
                    <w:left w:val="single" w:color="auto" w:sz="8" w:space="0"/>
                    <w:bottom w:val="single" w:color="auto" w:sz="4" w:space="0"/>
                    <w:right w:val="single" w:color="auto" w:sz="4" w:space="0"/>
                  </w:tcBorders>
                  <w:shd w:val="clear" w:color="auto" w:fill="auto"/>
                  <w:vAlign w:val="center"/>
                </w:tcPr>
                <w:p w14:paraId="11D84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工程名称</w:t>
                  </w:r>
                </w:p>
              </w:tc>
              <w:tc>
                <w:tcPr>
                  <w:tcW w:w="1672" w:type="pct"/>
                  <w:gridSpan w:val="2"/>
                  <w:tcBorders>
                    <w:top w:val="single" w:color="auto" w:sz="8" w:space="0"/>
                    <w:left w:val="nil"/>
                    <w:bottom w:val="single" w:color="auto" w:sz="4" w:space="0"/>
                    <w:right w:val="single" w:color="auto" w:sz="4" w:space="0"/>
                  </w:tcBorders>
                  <w:shd w:val="clear" w:color="auto" w:fill="auto"/>
                  <w:vAlign w:val="center"/>
                </w:tcPr>
                <w:p w14:paraId="61861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c>
                <w:tcPr>
                  <w:tcW w:w="1018" w:type="pct"/>
                  <w:tcBorders>
                    <w:top w:val="single" w:color="auto" w:sz="8" w:space="0"/>
                    <w:left w:val="nil"/>
                    <w:bottom w:val="single" w:color="auto" w:sz="4" w:space="0"/>
                    <w:right w:val="single" w:color="auto" w:sz="4" w:space="0"/>
                  </w:tcBorders>
                  <w:shd w:val="clear" w:color="auto" w:fill="auto"/>
                  <w:vAlign w:val="center"/>
                </w:tcPr>
                <w:p w14:paraId="1AF23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任务编号</w:t>
                  </w:r>
                </w:p>
              </w:tc>
              <w:tc>
                <w:tcPr>
                  <w:tcW w:w="1339" w:type="pct"/>
                  <w:tcBorders>
                    <w:top w:val="single" w:color="auto" w:sz="8" w:space="0"/>
                    <w:left w:val="nil"/>
                    <w:bottom w:val="single" w:color="auto" w:sz="4" w:space="0"/>
                    <w:right w:val="single" w:color="000000" w:sz="8" w:space="0"/>
                  </w:tcBorders>
                  <w:shd w:val="clear" w:color="auto" w:fill="auto"/>
                  <w:vAlign w:val="center"/>
                </w:tcPr>
                <w:p w14:paraId="702CA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r>
            <w:tr w14:paraId="08EF1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vAlign w:val="center"/>
                </w:tcPr>
                <w:p w14:paraId="146D41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工程部位/用途</w:t>
                  </w:r>
                </w:p>
              </w:tc>
              <w:tc>
                <w:tcPr>
                  <w:tcW w:w="1672" w:type="pct"/>
                  <w:gridSpan w:val="2"/>
                  <w:tcBorders>
                    <w:top w:val="single" w:color="auto" w:sz="4" w:space="0"/>
                    <w:left w:val="nil"/>
                    <w:bottom w:val="single" w:color="auto" w:sz="4" w:space="0"/>
                    <w:right w:val="single" w:color="auto" w:sz="4" w:space="0"/>
                  </w:tcBorders>
                  <w:shd w:val="clear" w:color="auto" w:fill="auto"/>
                  <w:vAlign w:val="center"/>
                </w:tcPr>
                <w:p w14:paraId="3AED9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c>
                <w:tcPr>
                  <w:tcW w:w="1018" w:type="pct"/>
                  <w:tcBorders>
                    <w:top w:val="single" w:color="auto" w:sz="4" w:space="0"/>
                    <w:left w:val="nil"/>
                    <w:bottom w:val="single" w:color="auto" w:sz="4" w:space="0"/>
                    <w:right w:val="single" w:color="auto" w:sz="4" w:space="0"/>
                  </w:tcBorders>
                  <w:shd w:val="clear" w:color="auto" w:fill="auto"/>
                  <w:vAlign w:val="center"/>
                </w:tcPr>
                <w:p w14:paraId="67B0D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试验检测日期</w:t>
                  </w:r>
                </w:p>
              </w:tc>
              <w:tc>
                <w:tcPr>
                  <w:tcW w:w="1339" w:type="pct"/>
                  <w:tcBorders>
                    <w:top w:val="single" w:color="auto" w:sz="4" w:space="0"/>
                    <w:left w:val="nil"/>
                    <w:bottom w:val="single" w:color="auto" w:sz="4" w:space="0"/>
                    <w:right w:val="single" w:color="000000" w:sz="8" w:space="0"/>
                  </w:tcBorders>
                  <w:shd w:val="clear" w:color="auto" w:fill="auto"/>
                  <w:vAlign w:val="center"/>
                </w:tcPr>
                <w:p w14:paraId="628C54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r>
            <w:tr w14:paraId="059C7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vAlign w:val="center"/>
                </w:tcPr>
                <w:p w14:paraId="4E134A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试验条件及现场情况描述</w:t>
                  </w:r>
                </w:p>
              </w:tc>
              <w:tc>
                <w:tcPr>
                  <w:tcW w:w="4030" w:type="pct"/>
                  <w:gridSpan w:val="4"/>
                  <w:tcBorders>
                    <w:top w:val="single" w:color="auto" w:sz="4" w:space="0"/>
                    <w:left w:val="nil"/>
                    <w:bottom w:val="single" w:color="auto" w:sz="4" w:space="0"/>
                    <w:right w:val="single" w:color="000000" w:sz="8" w:space="0"/>
                  </w:tcBorders>
                  <w:shd w:val="clear" w:color="auto" w:fill="auto"/>
                  <w:vAlign w:val="center"/>
                </w:tcPr>
                <w:p w14:paraId="5C6370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r>
            <w:tr w14:paraId="3C5C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vAlign w:val="center"/>
                </w:tcPr>
                <w:p w14:paraId="2DBD9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主要仪器设备名称及编号</w:t>
                  </w:r>
                </w:p>
              </w:tc>
              <w:tc>
                <w:tcPr>
                  <w:tcW w:w="4030" w:type="pct"/>
                  <w:gridSpan w:val="4"/>
                  <w:tcBorders>
                    <w:top w:val="single" w:color="auto" w:sz="4" w:space="0"/>
                    <w:left w:val="nil"/>
                    <w:bottom w:val="single" w:color="auto" w:sz="4" w:space="0"/>
                    <w:right w:val="single" w:color="000000" w:sz="8" w:space="0"/>
                  </w:tcBorders>
                  <w:shd w:val="clear" w:color="auto" w:fill="auto"/>
                  <w:noWrap/>
                  <w:vAlign w:val="center"/>
                </w:tcPr>
                <w:p w14:paraId="65B972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r>
            <w:tr w14:paraId="75C51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vAlign w:val="center"/>
                </w:tcPr>
                <w:p w14:paraId="04EAD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存档路径</w:t>
                  </w:r>
                </w:p>
              </w:tc>
              <w:tc>
                <w:tcPr>
                  <w:tcW w:w="4030" w:type="pct"/>
                  <w:gridSpan w:val="4"/>
                  <w:tcBorders>
                    <w:top w:val="single" w:color="auto" w:sz="4" w:space="0"/>
                    <w:left w:val="nil"/>
                    <w:bottom w:val="single" w:color="auto" w:sz="4" w:space="0"/>
                    <w:right w:val="single" w:color="000000" w:sz="8" w:space="0"/>
                  </w:tcBorders>
                  <w:shd w:val="clear" w:color="auto" w:fill="auto"/>
                  <w:vAlign w:val="center"/>
                </w:tcPr>
                <w:p w14:paraId="2F23DF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r>
            <w:tr w14:paraId="22A73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noWrap/>
                  <w:vAlign w:val="center"/>
                </w:tcPr>
                <w:p w14:paraId="66D5F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存档文件名</w:t>
                  </w:r>
                </w:p>
              </w:tc>
              <w:tc>
                <w:tcPr>
                  <w:tcW w:w="4030" w:type="pct"/>
                  <w:gridSpan w:val="4"/>
                  <w:tcBorders>
                    <w:top w:val="single" w:color="auto" w:sz="4" w:space="0"/>
                    <w:left w:val="nil"/>
                    <w:bottom w:val="single" w:color="auto" w:sz="4" w:space="0"/>
                    <w:right w:val="single" w:color="000000" w:sz="8" w:space="0"/>
                  </w:tcBorders>
                  <w:shd w:val="clear" w:color="auto" w:fill="auto"/>
                  <w:vAlign w:val="center"/>
                </w:tcPr>
                <w:p w14:paraId="29069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r>
            <w:tr w14:paraId="5ECE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190FB2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静态基站采集数据</w:t>
                  </w:r>
                </w:p>
              </w:tc>
            </w:tr>
            <w:tr w14:paraId="2A80F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55" w:type="pct"/>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75368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文件名</w:t>
                  </w:r>
                </w:p>
              </w:tc>
              <w:tc>
                <w:tcPr>
                  <w:tcW w:w="2104" w:type="pct"/>
                  <w:gridSpan w:val="2"/>
                  <w:tcBorders>
                    <w:top w:val="single" w:color="auto" w:sz="4" w:space="0"/>
                    <w:left w:val="nil"/>
                    <w:bottom w:val="single" w:color="auto" w:sz="4" w:space="0"/>
                    <w:right w:val="single" w:color="auto" w:sz="4" w:space="0"/>
                  </w:tcBorders>
                  <w:shd w:val="clear" w:color="auto" w:fill="auto"/>
                  <w:vAlign w:val="center"/>
                </w:tcPr>
                <w:p w14:paraId="20E42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RTK编号</w:t>
                  </w:r>
                </w:p>
              </w:tc>
              <w:tc>
                <w:tcPr>
                  <w:tcW w:w="1339" w:type="pct"/>
                  <w:tcBorders>
                    <w:top w:val="single" w:color="auto" w:sz="4" w:space="0"/>
                    <w:left w:val="nil"/>
                    <w:bottom w:val="single" w:color="auto" w:sz="4" w:space="0"/>
                    <w:right w:val="single" w:color="000000" w:sz="8" w:space="0"/>
                  </w:tcBorders>
                  <w:shd w:val="clear" w:color="auto" w:fill="auto"/>
                  <w:vAlign w:val="center"/>
                </w:tcPr>
                <w:p w14:paraId="3D7DD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中央子午线</w:t>
                  </w:r>
                </w:p>
              </w:tc>
            </w:tr>
            <w:tr w14:paraId="4F15F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55" w:type="pct"/>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3FDBA9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c>
                <w:tcPr>
                  <w:tcW w:w="2104" w:type="pct"/>
                  <w:gridSpan w:val="2"/>
                  <w:tcBorders>
                    <w:top w:val="single" w:color="auto" w:sz="4" w:space="0"/>
                    <w:left w:val="nil"/>
                    <w:bottom w:val="single" w:color="auto" w:sz="4" w:space="0"/>
                    <w:right w:val="single" w:color="auto" w:sz="4" w:space="0"/>
                  </w:tcBorders>
                  <w:shd w:val="clear" w:color="auto" w:fill="auto"/>
                  <w:vAlign w:val="center"/>
                </w:tcPr>
                <w:p w14:paraId="585A2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c>
                <w:tcPr>
                  <w:tcW w:w="1339" w:type="pct"/>
                  <w:tcBorders>
                    <w:top w:val="single" w:color="auto" w:sz="4" w:space="0"/>
                    <w:left w:val="nil"/>
                    <w:bottom w:val="single" w:color="auto" w:sz="4" w:space="0"/>
                    <w:right w:val="single" w:color="000000" w:sz="8" w:space="0"/>
                  </w:tcBorders>
                  <w:shd w:val="clear" w:color="auto" w:fill="auto"/>
                  <w:vAlign w:val="center"/>
                </w:tcPr>
                <w:p w14:paraId="4A84E0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r>
            <w:tr w14:paraId="7C64D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555" w:type="pct"/>
                  <w:gridSpan w:val="2"/>
                  <w:vMerge w:val="restart"/>
                  <w:tcBorders>
                    <w:top w:val="single" w:color="auto" w:sz="4" w:space="0"/>
                    <w:left w:val="single" w:color="auto" w:sz="8" w:space="0"/>
                    <w:bottom w:val="single" w:color="auto" w:sz="4" w:space="0"/>
                    <w:right w:val="single" w:color="auto" w:sz="4" w:space="0"/>
                  </w:tcBorders>
                  <w:shd w:val="clear" w:color="auto" w:fill="auto"/>
                  <w:vAlign w:val="center"/>
                </w:tcPr>
                <w:p w14:paraId="70218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斜高（m）</w:t>
                  </w:r>
                </w:p>
              </w:tc>
              <w:tc>
                <w:tcPr>
                  <w:tcW w:w="3444" w:type="pct"/>
                  <w:gridSpan w:val="3"/>
                  <w:tcBorders>
                    <w:top w:val="single" w:color="auto" w:sz="4" w:space="0"/>
                    <w:left w:val="nil"/>
                    <w:bottom w:val="single" w:color="auto" w:sz="4" w:space="0"/>
                    <w:right w:val="single" w:color="000000" w:sz="8" w:space="0"/>
                  </w:tcBorders>
                  <w:shd w:val="clear" w:color="auto" w:fill="auto"/>
                  <w:vAlign w:val="center"/>
                </w:tcPr>
                <w:p w14:paraId="260B1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图根点参数</w:t>
                  </w:r>
                </w:p>
              </w:tc>
            </w:tr>
            <w:tr w14:paraId="1EC4F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555" w:type="pct"/>
                  <w:gridSpan w:val="2"/>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7BA0E7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86" w:type="pct"/>
                  <w:tcBorders>
                    <w:top w:val="single" w:color="auto" w:sz="4" w:space="0"/>
                    <w:left w:val="nil"/>
                    <w:bottom w:val="single" w:color="auto" w:sz="4" w:space="0"/>
                    <w:right w:val="single" w:color="auto" w:sz="4" w:space="0"/>
                  </w:tcBorders>
                  <w:shd w:val="clear" w:color="auto" w:fill="auto"/>
                  <w:vAlign w:val="center"/>
                </w:tcPr>
                <w:p w14:paraId="7046A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B</w:t>
                  </w:r>
                </w:p>
              </w:tc>
              <w:tc>
                <w:tcPr>
                  <w:tcW w:w="1018" w:type="pct"/>
                  <w:tcBorders>
                    <w:top w:val="single" w:color="auto" w:sz="4" w:space="0"/>
                    <w:left w:val="nil"/>
                    <w:bottom w:val="single" w:color="auto" w:sz="4" w:space="0"/>
                    <w:right w:val="single" w:color="auto" w:sz="4" w:space="0"/>
                  </w:tcBorders>
                  <w:shd w:val="clear" w:color="auto" w:fill="auto"/>
                  <w:vAlign w:val="center"/>
                </w:tcPr>
                <w:p w14:paraId="164796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L</w:t>
                  </w:r>
                </w:p>
              </w:tc>
              <w:tc>
                <w:tcPr>
                  <w:tcW w:w="1339" w:type="pct"/>
                  <w:tcBorders>
                    <w:top w:val="single" w:color="auto" w:sz="4" w:space="0"/>
                    <w:left w:val="nil"/>
                    <w:bottom w:val="single" w:color="auto" w:sz="4" w:space="0"/>
                    <w:right w:val="single" w:color="000000" w:sz="8" w:space="0"/>
                  </w:tcBorders>
                  <w:shd w:val="clear" w:color="auto" w:fill="auto"/>
                  <w:vAlign w:val="center"/>
                </w:tcPr>
                <w:p w14:paraId="40E31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H</w:t>
                  </w:r>
                </w:p>
              </w:tc>
            </w:tr>
            <w:tr w14:paraId="0789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55" w:type="pct"/>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5466A3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c>
                <w:tcPr>
                  <w:tcW w:w="1086" w:type="pct"/>
                  <w:tcBorders>
                    <w:top w:val="single" w:color="auto" w:sz="4" w:space="0"/>
                    <w:left w:val="nil"/>
                    <w:bottom w:val="single" w:color="auto" w:sz="4" w:space="0"/>
                    <w:right w:val="single" w:color="auto" w:sz="4" w:space="0"/>
                  </w:tcBorders>
                  <w:shd w:val="clear" w:color="auto" w:fill="auto"/>
                  <w:vAlign w:val="center"/>
                </w:tcPr>
                <w:p w14:paraId="79658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c>
                <w:tcPr>
                  <w:tcW w:w="1018" w:type="pct"/>
                  <w:tcBorders>
                    <w:top w:val="single" w:color="auto" w:sz="4" w:space="0"/>
                    <w:left w:val="nil"/>
                    <w:bottom w:val="single" w:color="auto" w:sz="4" w:space="0"/>
                    <w:right w:val="single" w:color="auto" w:sz="4" w:space="0"/>
                  </w:tcBorders>
                  <w:shd w:val="clear" w:color="auto" w:fill="auto"/>
                  <w:vAlign w:val="center"/>
                </w:tcPr>
                <w:p w14:paraId="100C1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c>
                <w:tcPr>
                  <w:tcW w:w="1339" w:type="pct"/>
                  <w:tcBorders>
                    <w:top w:val="single" w:color="auto" w:sz="4" w:space="0"/>
                    <w:left w:val="nil"/>
                    <w:bottom w:val="single" w:color="auto" w:sz="4" w:space="0"/>
                    <w:right w:val="single" w:color="000000" w:sz="8" w:space="0"/>
                  </w:tcBorders>
                  <w:shd w:val="clear" w:color="auto" w:fill="auto"/>
                  <w:vAlign w:val="center"/>
                </w:tcPr>
                <w:p w14:paraId="78CAF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r>
            <w:tr w14:paraId="24EEF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tcBorders>
                    <w:top w:val="single" w:color="auto" w:sz="4" w:space="0"/>
                    <w:left w:val="single" w:color="auto" w:sz="8" w:space="0"/>
                    <w:bottom w:val="nil"/>
                    <w:right w:val="single" w:color="000000" w:sz="8" w:space="0"/>
                  </w:tcBorders>
                  <w:shd w:val="clear" w:color="auto" w:fill="auto"/>
                  <w:vAlign w:val="center"/>
                </w:tcPr>
                <w:p w14:paraId="4A012C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附加声明：</w:t>
                  </w:r>
                </w:p>
              </w:tc>
            </w:tr>
            <w:tr w14:paraId="0E748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vMerge w:val="restart"/>
                  <w:tcBorders>
                    <w:top w:val="nil"/>
                    <w:left w:val="single" w:color="auto" w:sz="8" w:space="0"/>
                    <w:right w:val="single" w:color="000000" w:sz="8" w:space="0"/>
                  </w:tcBorders>
                  <w:shd w:val="clear" w:color="auto" w:fill="auto"/>
                  <w:vAlign w:val="center"/>
                </w:tcPr>
                <w:p w14:paraId="46E0C3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6EC64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5"/>
                  <w:vMerge w:val="continue"/>
                  <w:tcBorders>
                    <w:top w:val="nil"/>
                    <w:left w:val="single" w:color="auto" w:sz="8" w:space="0"/>
                    <w:bottom w:val="single" w:color="000000" w:sz="8" w:space="0"/>
                    <w:right w:val="single" w:color="000000" w:sz="8" w:space="0"/>
                  </w:tcBorders>
                  <w:shd w:val="clear" w:color="auto" w:fill="auto"/>
                  <w:vAlign w:val="center"/>
                </w:tcPr>
                <w:p w14:paraId="30C54B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16E82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5000" w:type="pct"/>
                  <w:gridSpan w:val="5"/>
                  <w:vMerge w:val="continue"/>
                  <w:tcBorders>
                    <w:top w:val="nil"/>
                    <w:left w:val="single" w:color="auto" w:sz="8" w:space="0"/>
                    <w:bottom w:val="single" w:color="000000" w:sz="8" w:space="0"/>
                    <w:right w:val="single" w:color="000000" w:sz="8" w:space="0"/>
                  </w:tcBorders>
                  <w:shd w:val="clear" w:color="auto" w:fill="auto"/>
                  <w:vAlign w:val="center"/>
                </w:tcPr>
                <w:p w14:paraId="52E603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34751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vMerge w:val="continue"/>
                  <w:tcBorders>
                    <w:top w:val="nil"/>
                    <w:left w:val="single" w:color="auto" w:sz="8" w:space="0"/>
                    <w:bottom w:val="single" w:color="000000" w:sz="8" w:space="0"/>
                    <w:right w:val="single" w:color="000000" w:sz="8" w:space="0"/>
                  </w:tcBorders>
                  <w:shd w:val="clear" w:color="auto" w:fill="auto"/>
                  <w:vAlign w:val="center"/>
                </w:tcPr>
                <w:p w14:paraId="20ECCC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2BDF4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vMerge w:val="continue"/>
                  <w:tcBorders>
                    <w:top w:val="nil"/>
                    <w:left w:val="single" w:color="auto" w:sz="8" w:space="0"/>
                    <w:bottom w:val="single" w:color="000000" w:sz="8" w:space="0"/>
                    <w:right w:val="single" w:color="000000" w:sz="8" w:space="0"/>
                  </w:tcBorders>
                  <w:shd w:val="clear" w:color="auto" w:fill="auto"/>
                  <w:vAlign w:val="center"/>
                </w:tcPr>
                <w:p w14:paraId="3367C5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bl>
          <w:p w14:paraId="58FCC66B">
            <w:pPr>
              <w:keepNext w:val="0"/>
              <w:keepLines w:val="0"/>
              <w:pageBreakBefore w:val="0"/>
              <w:widowControl w:val="0"/>
              <w:kinsoku/>
              <w:wordWrap w:val="0"/>
              <w:overflowPunct/>
              <w:topLinePunct w:val="0"/>
              <w:autoSpaceDE/>
              <w:autoSpaceDN/>
              <w:bidi w:val="0"/>
              <w:adjustRightInd/>
              <w:snapToGrid/>
              <w:spacing w:line="240" w:lineRule="auto"/>
              <w:ind w:left="0" w:leftChars="0" w:right="0" w:firstLine="0" w:firstLineChars="0"/>
              <w:textAlignment w:val="auto"/>
              <w:rPr>
                <w:rFonts w:hint="eastAsia" w:ascii="仿宋_GB2312" w:hAnsi="仿宋_GB2312" w:eastAsia="仿宋_GB2312" w:cs="仿宋_GB2312"/>
                <w:kern w:val="0"/>
                <w:sz w:val="20"/>
                <w:szCs w:val="20"/>
              </w:rPr>
            </w:pPr>
            <w:r>
              <w:rPr>
                <w:rFonts w:hint="eastAsia" w:asciiTheme="minorEastAsia" w:hAnsiTheme="minorEastAsia" w:eastAsiaTheme="minorEastAsia" w:cstheme="minorEastAsia"/>
                <w:b w:val="0"/>
                <w:bCs w:val="0"/>
                <w:kern w:val="0"/>
                <w:sz w:val="21"/>
                <w:szCs w:val="21"/>
              </w:rPr>
              <w:t>检测:</w:t>
            </w:r>
            <w:r>
              <w:rPr>
                <w:rFonts w:hint="eastAsia" w:asciiTheme="minorEastAsia" w:hAnsiTheme="minorEastAsia" w:eastAsiaTheme="minorEastAsia" w:cstheme="minorEastAsia"/>
                <w:b w:val="0"/>
                <w:bCs w:val="0"/>
                <w:kern w:val="0"/>
                <w:sz w:val="21"/>
                <w:szCs w:val="21"/>
                <w:lang w:val="en-US" w:eastAsia="zh-CN"/>
              </w:rPr>
              <w:t xml:space="preserve">             </w:t>
            </w:r>
            <w:r>
              <w:rPr>
                <w:rFonts w:hint="eastAsia" w:asciiTheme="minorEastAsia" w:hAnsiTheme="minorEastAsia" w:eastAsiaTheme="minorEastAsia" w:cstheme="minorEastAsia"/>
                <w:b w:val="0"/>
                <w:bCs w:val="0"/>
                <w:kern w:val="0"/>
                <w:sz w:val="21"/>
                <w:szCs w:val="21"/>
              </w:rPr>
              <w:t>记录:</w:t>
            </w:r>
            <w:r>
              <w:rPr>
                <w:rFonts w:hint="eastAsia" w:asciiTheme="minorEastAsia" w:hAnsiTheme="minorEastAsia" w:eastAsiaTheme="minorEastAsia" w:cstheme="minorEastAsia"/>
                <w:b w:val="0"/>
                <w:bCs w:val="0"/>
                <w:kern w:val="0"/>
                <w:sz w:val="21"/>
                <w:szCs w:val="21"/>
                <w:lang w:val="en-US" w:eastAsia="zh-CN"/>
              </w:rPr>
              <w:t xml:space="preserve">              </w:t>
            </w:r>
            <w:r>
              <w:rPr>
                <w:rFonts w:hint="eastAsia" w:asciiTheme="minorEastAsia" w:hAnsiTheme="minorEastAsia" w:eastAsiaTheme="minorEastAsia" w:cstheme="minorEastAsia"/>
                <w:b w:val="0"/>
                <w:bCs w:val="0"/>
                <w:kern w:val="0"/>
                <w:sz w:val="21"/>
                <w:szCs w:val="21"/>
              </w:rPr>
              <w:t>复核:</w:t>
            </w:r>
            <w:r>
              <w:rPr>
                <w:rFonts w:hint="eastAsia" w:asciiTheme="minorEastAsia" w:hAnsiTheme="minorEastAsia" w:eastAsiaTheme="minorEastAsia" w:cstheme="minorEastAsia"/>
                <w:b w:val="0"/>
                <w:bCs w:val="0"/>
                <w:kern w:val="0"/>
                <w:sz w:val="21"/>
                <w:szCs w:val="21"/>
                <w:lang w:val="en-US" w:eastAsia="zh-CN"/>
              </w:rPr>
              <w:t xml:space="preserve">              </w:t>
            </w:r>
            <w:r>
              <w:rPr>
                <w:rFonts w:hint="eastAsia" w:asciiTheme="minorEastAsia" w:hAnsiTheme="minorEastAsia" w:eastAsiaTheme="minorEastAsia" w:cstheme="minorEastAsia"/>
                <w:b w:val="0"/>
                <w:bCs w:val="0"/>
                <w:kern w:val="0"/>
                <w:sz w:val="21"/>
                <w:szCs w:val="21"/>
              </w:rPr>
              <w:t>日期：        年     月     日</w:t>
            </w:r>
          </w:p>
        </w:tc>
      </w:tr>
    </w:tbl>
    <w:p w14:paraId="54933BA5">
      <w:pPr>
        <w:spacing w:before="216" w:line="220" w:lineRule="auto"/>
        <w:ind w:left="3224"/>
        <w:rPr>
          <w:rFonts w:ascii="黑体" w:hAnsi="黑体" w:eastAsia="黑体" w:cs="黑体"/>
          <w:spacing w:val="-2"/>
          <w:sz w:val="21"/>
          <w:szCs w:val="21"/>
          <w:highlight w:val="none"/>
        </w:rPr>
        <w:sectPr>
          <w:headerReference r:id="rId24" w:type="default"/>
          <w:footerReference r:id="rId26" w:type="default"/>
          <w:headerReference r:id="rId25" w:type="even"/>
          <w:footerReference r:id="rId27" w:type="even"/>
          <w:pgSz w:w="11906" w:h="16838"/>
          <w:pgMar w:top="1417" w:right="1134" w:bottom="1134" w:left="1417" w:header="283" w:footer="1134" w:gutter="0"/>
          <w:pgBorders>
            <w:top w:val="none" w:sz="0" w:space="0"/>
            <w:left w:val="none" w:sz="0" w:space="0"/>
            <w:bottom w:val="none" w:sz="0" w:space="0"/>
            <w:right w:val="none" w:sz="0" w:space="0"/>
          </w:pgBorders>
          <w:pgNumType w:fmt="decimal"/>
          <w:cols w:space="720" w:num="1"/>
          <w:docGrid w:type="lines" w:linePitch="312" w:charSpace="0"/>
        </w:sectPr>
      </w:pPr>
    </w:p>
    <w:p w14:paraId="41FB0880">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17" w:name="_Toc18089"/>
      <w:bookmarkStart w:id="118" w:name="_Toc30756"/>
      <w:bookmarkStart w:id="119" w:name="_Toc28220"/>
      <w:r>
        <w:rPr>
          <w:rFonts w:hint="eastAsia"/>
        </w:rPr>
        <w:t>附录</w:t>
      </w:r>
      <w:r>
        <w:rPr>
          <w:rFonts w:hint="eastAsia"/>
          <w:lang w:val="en-US" w:eastAsia="zh-CN"/>
        </w:rPr>
        <w:t>C</w:t>
      </w:r>
      <w:bookmarkEnd w:id="117"/>
      <w:bookmarkEnd w:id="118"/>
      <w:bookmarkEnd w:id="119"/>
    </w:p>
    <w:p w14:paraId="48B5124E">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20" w:name="_Toc23026"/>
      <w:bookmarkStart w:id="121" w:name="_Toc27161"/>
      <w:bookmarkStart w:id="122" w:name="_Toc20608"/>
      <w:bookmarkStart w:id="123" w:name="_Toc9787"/>
      <w:bookmarkStart w:id="124" w:name="_Toc32156"/>
      <w:r>
        <w:rPr>
          <w:rFonts w:hint="eastAsia"/>
        </w:rPr>
        <w:t>探地雷达检测记录表</w:t>
      </w:r>
      <w:bookmarkEnd w:id="120"/>
      <w:bookmarkEnd w:id="121"/>
      <w:bookmarkEnd w:id="122"/>
      <w:bookmarkEnd w:id="123"/>
      <w:bookmarkEnd w:id="124"/>
    </w:p>
    <w:tbl>
      <w:tblPr>
        <w:tblStyle w:val="16"/>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344"/>
        <w:gridCol w:w="1274"/>
        <w:gridCol w:w="1115"/>
        <w:gridCol w:w="843"/>
        <w:gridCol w:w="1545"/>
        <w:gridCol w:w="415"/>
        <w:gridCol w:w="1978"/>
      </w:tblGrid>
      <w:tr w14:paraId="5B5A6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249" w:type="pct"/>
            <w:gridSpan w:val="2"/>
            <w:tcBorders>
              <w:tl2br w:val="nil"/>
              <w:tr2bl w:val="nil"/>
            </w:tcBorders>
            <w:noWrap w:val="0"/>
            <w:vAlign w:val="center"/>
          </w:tcPr>
          <w:p w14:paraId="1C74A7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项目名称</w:t>
            </w:r>
          </w:p>
        </w:tc>
        <w:tc>
          <w:tcPr>
            <w:tcW w:w="1249" w:type="pct"/>
            <w:gridSpan w:val="2"/>
            <w:tcBorders>
              <w:tl2br w:val="nil"/>
              <w:tr2bl w:val="nil"/>
            </w:tcBorders>
            <w:noWrap w:val="0"/>
            <w:vAlign w:val="center"/>
          </w:tcPr>
          <w:p w14:paraId="236BC3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249" w:type="pct"/>
            <w:gridSpan w:val="2"/>
            <w:tcBorders>
              <w:tl2br w:val="nil"/>
              <w:tr2bl w:val="nil"/>
            </w:tcBorders>
            <w:noWrap w:val="0"/>
            <w:vAlign w:val="center"/>
          </w:tcPr>
          <w:p w14:paraId="034620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道路名称（起止点）</w:t>
            </w:r>
          </w:p>
        </w:tc>
        <w:tc>
          <w:tcPr>
            <w:tcW w:w="1251" w:type="pct"/>
            <w:gridSpan w:val="2"/>
            <w:tcBorders>
              <w:tl2br w:val="nil"/>
              <w:tr2bl w:val="nil"/>
            </w:tcBorders>
            <w:noWrap w:val="0"/>
            <w:vAlign w:val="center"/>
          </w:tcPr>
          <w:p w14:paraId="5BF008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7632D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9" w:hRule="atLeast"/>
        </w:trPr>
        <w:tc>
          <w:tcPr>
            <w:tcW w:w="1249" w:type="pct"/>
            <w:gridSpan w:val="2"/>
            <w:tcBorders>
              <w:tl2br w:val="nil"/>
              <w:tr2bl w:val="nil"/>
            </w:tcBorders>
            <w:noWrap w:val="0"/>
            <w:vAlign w:val="center"/>
          </w:tcPr>
          <w:p w14:paraId="5EA207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日期</w:t>
            </w:r>
          </w:p>
        </w:tc>
        <w:tc>
          <w:tcPr>
            <w:tcW w:w="1249" w:type="pct"/>
            <w:gridSpan w:val="2"/>
            <w:tcBorders>
              <w:tl2br w:val="nil"/>
              <w:tr2bl w:val="nil"/>
            </w:tcBorders>
            <w:noWrap w:val="0"/>
            <w:vAlign w:val="center"/>
          </w:tcPr>
          <w:p w14:paraId="2A00FF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249" w:type="pct"/>
            <w:gridSpan w:val="2"/>
            <w:tcBorders>
              <w:tl2br w:val="nil"/>
              <w:tr2bl w:val="nil"/>
            </w:tcBorders>
            <w:noWrap w:val="0"/>
            <w:vAlign w:val="center"/>
          </w:tcPr>
          <w:p w14:paraId="1DBCEC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天气</w:t>
            </w:r>
          </w:p>
        </w:tc>
        <w:tc>
          <w:tcPr>
            <w:tcW w:w="1251" w:type="pct"/>
            <w:gridSpan w:val="2"/>
            <w:tcBorders>
              <w:tl2br w:val="nil"/>
              <w:tr2bl w:val="nil"/>
            </w:tcBorders>
            <w:noWrap w:val="0"/>
            <w:vAlign w:val="center"/>
          </w:tcPr>
          <w:p w14:paraId="4F1278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5495E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9" w:type="pct"/>
            <w:gridSpan w:val="2"/>
            <w:tcBorders>
              <w:tl2br w:val="nil"/>
              <w:tr2bl w:val="nil"/>
            </w:tcBorders>
            <w:noWrap w:val="0"/>
            <w:vAlign w:val="center"/>
          </w:tcPr>
          <w:p w14:paraId="5A33F0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仪器型号</w:t>
            </w:r>
          </w:p>
        </w:tc>
        <w:tc>
          <w:tcPr>
            <w:tcW w:w="1249" w:type="pct"/>
            <w:gridSpan w:val="2"/>
            <w:tcBorders>
              <w:tl2br w:val="nil"/>
              <w:tr2bl w:val="nil"/>
            </w:tcBorders>
            <w:noWrap w:val="0"/>
            <w:vAlign w:val="center"/>
          </w:tcPr>
          <w:p w14:paraId="44F0A9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249" w:type="pct"/>
            <w:gridSpan w:val="2"/>
            <w:tcBorders>
              <w:tl2br w:val="nil"/>
              <w:tr2bl w:val="nil"/>
            </w:tcBorders>
            <w:noWrap w:val="0"/>
            <w:vAlign w:val="center"/>
          </w:tcPr>
          <w:p w14:paraId="027079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天线主频（MHz）</w:t>
            </w:r>
          </w:p>
        </w:tc>
        <w:tc>
          <w:tcPr>
            <w:tcW w:w="1251" w:type="pct"/>
            <w:gridSpan w:val="2"/>
            <w:tcBorders>
              <w:tl2br w:val="nil"/>
              <w:tr2bl w:val="nil"/>
            </w:tcBorders>
            <w:noWrap w:val="0"/>
            <w:vAlign w:val="center"/>
          </w:tcPr>
          <w:p w14:paraId="7FF5F4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54F79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9" w:type="pct"/>
            <w:gridSpan w:val="2"/>
            <w:tcBorders>
              <w:tl2br w:val="nil"/>
              <w:tr2bl w:val="nil"/>
            </w:tcBorders>
            <w:noWrap w:val="0"/>
            <w:vAlign w:val="center"/>
          </w:tcPr>
          <w:p w14:paraId="226B1C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时窗（ns）</w:t>
            </w:r>
          </w:p>
        </w:tc>
        <w:tc>
          <w:tcPr>
            <w:tcW w:w="1249" w:type="pct"/>
            <w:gridSpan w:val="2"/>
            <w:tcBorders>
              <w:tl2br w:val="nil"/>
              <w:tr2bl w:val="nil"/>
            </w:tcBorders>
            <w:noWrap w:val="0"/>
            <w:vAlign w:val="center"/>
          </w:tcPr>
          <w:p w14:paraId="0D0663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249" w:type="pct"/>
            <w:gridSpan w:val="2"/>
            <w:tcBorders>
              <w:tl2br w:val="nil"/>
              <w:tr2bl w:val="nil"/>
            </w:tcBorders>
            <w:noWrap w:val="0"/>
            <w:vAlign w:val="center"/>
          </w:tcPr>
          <w:p w14:paraId="086243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道间距（cm）</w:t>
            </w:r>
          </w:p>
        </w:tc>
        <w:tc>
          <w:tcPr>
            <w:tcW w:w="1251" w:type="pct"/>
            <w:gridSpan w:val="2"/>
            <w:tcBorders>
              <w:tl2br w:val="nil"/>
              <w:tr2bl w:val="nil"/>
            </w:tcBorders>
            <w:noWrap w:val="0"/>
            <w:vAlign w:val="center"/>
          </w:tcPr>
          <w:p w14:paraId="73FC3E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2B7D4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center"/>
          </w:tcPr>
          <w:p w14:paraId="15CB1B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文件名</w:t>
            </w:r>
          </w:p>
        </w:tc>
        <w:tc>
          <w:tcPr>
            <w:tcW w:w="702" w:type="pct"/>
            <w:tcBorders>
              <w:tl2br w:val="nil"/>
              <w:tr2bl w:val="nil"/>
            </w:tcBorders>
            <w:noWrap w:val="0"/>
            <w:vAlign w:val="center"/>
          </w:tcPr>
          <w:p w14:paraId="56DFF7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测线方向</w:t>
            </w:r>
          </w:p>
        </w:tc>
        <w:tc>
          <w:tcPr>
            <w:tcW w:w="666" w:type="pct"/>
            <w:tcBorders>
              <w:tl2br w:val="nil"/>
              <w:tr2bl w:val="nil"/>
            </w:tcBorders>
            <w:noWrap w:val="0"/>
            <w:vAlign w:val="center"/>
          </w:tcPr>
          <w:p w14:paraId="5ECC58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测线编号</w:t>
            </w:r>
          </w:p>
        </w:tc>
        <w:tc>
          <w:tcPr>
            <w:tcW w:w="1024" w:type="pct"/>
            <w:gridSpan w:val="2"/>
            <w:tcBorders>
              <w:tl2br w:val="nil"/>
              <w:tr2bl w:val="nil"/>
            </w:tcBorders>
            <w:noWrap w:val="0"/>
            <w:vAlign w:val="center"/>
          </w:tcPr>
          <w:p w14:paraId="337E8A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测线起点/终点</w:t>
            </w:r>
          </w:p>
        </w:tc>
        <w:tc>
          <w:tcPr>
            <w:tcW w:w="1025" w:type="pct"/>
            <w:gridSpan w:val="2"/>
            <w:tcBorders>
              <w:tl2br w:val="nil"/>
              <w:tr2bl w:val="nil"/>
            </w:tcBorders>
            <w:noWrap w:val="0"/>
            <w:vAlign w:val="center"/>
          </w:tcPr>
          <w:p w14:paraId="6C059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测线长度（m）</w:t>
            </w:r>
          </w:p>
        </w:tc>
        <w:tc>
          <w:tcPr>
            <w:tcW w:w="1034" w:type="pct"/>
            <w:tcBorders>
              <w:tl2br w:val="nil"/>
              <w:tr2bl w:val="nil"/>
            </w:tcBorders>
            <w:noWrap w:val="0"/>
            <w:vAlign w:val="center"/>
          </w:tcPr>
          <w:p w14:paraId="2D9B42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备注/异常情况</w:t>
            </w:r>
          </w:p>
        </w:tc>
      </w:tr>
      <w:tr w14:paraId="7C66D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722A91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20E76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7A4CD8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57E479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831AD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393775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79BA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75B977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6EC6F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682971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00FB17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5F699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56D3FA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2F543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0B342A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55C16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1EE23E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2C8585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E2BEA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16478C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17008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1E3546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594104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59C725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78896A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26C660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01ACE5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7D77A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218732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206E7E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664FDB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7CBB1C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99871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5FEE98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0995F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49D7A8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7DC236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0810D6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46F211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69247A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1A7A5F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0DC18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7DA791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140F9B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44CCC2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51FE3A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1D1D5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4830FC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1207D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2737FD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02D8CB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63B693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02141F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6D28EF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2112C5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5B4FB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336F08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C9BF1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3774B2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4C3C42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5829F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580B62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53201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2FFB41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654A71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0C1711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547930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B50D8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118237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16042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664924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7010C2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6EDA6D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7EA870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C589E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708060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32265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5A6559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7884FA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550A92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778086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201FD4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6E8CF2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21E49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2" w:hRule="atLeast"/>
        </w:trPr>
        <w:tc>
          <w:tcPr>
            <w:tcW w:w="546" w:type="pct"/>
            <w:tcBorders>
              <w:tl2br w:val="nil"/>
              <w:tr2bl w:val="nil"/>
            </w:tcBorders>
            <w:noWrap w:val="0"/>
            <w:vAlign w:val="top"/>
          </w:tcPr>
          <w:p w14:paraId="6C20C5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5E403E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1EE3F8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24872C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268EAB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7E6CB7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3B2B8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34A736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8F3A3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3DCCFF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14945A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689B2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0F01AC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7E239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6A116A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0B2642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4BED98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6DA3B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BDA6C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7F8CC8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12B8D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46" w:type="pct"/>
            <w:tcBorders>
              <w:tl2br w:val="nil"/>
              <w:tr2bl w:val="nil"/>
            </w:tcBorders>
            <w:noWrap w:val="0"/>
            <w:vAlign w:val="top"/>
          </w:tcPr>
          <w:p w14:paraId="55DB80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5A5D98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1DBAEB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5C4C2C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2D0F0B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1E8A63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bl>
    <w:p w14:paraId="42906EC8">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sz w:val="21"/>
          <w:szCs w:val="21"/>
        </w:rPr>
        <w:sectPr>
          <w:footerReference r:id="rId28" w:type="default"/>
          <w:pgSz w:w="11906" w:h="16838"/>
          <w:pgMar w:top="1417" w:right="1134" w:bottom="1134" w:left="1417" w:header="283"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heme="minorEastAsia" w:hAnsiTheme="minorEastAsia" w:eastAsiaTheme="minorEastAsia" w:cstheme="minorEastAsia"/>
          <w:b w:val="0"/>
          <w:bCs w:val="0"/>
          <w:kern w:val="0"/>
          <w:sz w:val="18"/>
          <w:szCs w:val="18"/>
        </w:rPr>
        <w:t>检测:</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记录:</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复核:</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sz w:val="21"/>
          <w:szCs w:val="21"/>
        </w:rPr>
        <w:t xml:space="preserve">                                第   页/共   页</w:t>
      </w:r>
    </w:p>
    <w:p w14:paraId="55B519B8">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25" w:name="_Toc20471"/>
      <w:bookmarkStart w:id="126" w:name="_Toc25101"/>
      <w:bookmarkStart w:id="127" w:name="_Toc10106"/>
      <w:r>
        <w:rPr>
          <w:rFonts w:hint="eastAsia"/>
        </w:rPr>
        <w:t>附录</w:t>
      </w:r>
      <w:r>
        <w:rPr>
          <w:rFonts w:hint="eastAsia"/>
          <w:lang w:val="en-US" w:eastAsia="zh-CN"/>
        </w:rPr>
        <w:t>D</w:t>
      </w:r>
      <w:bookmarkEnd w:id="125"/>
      <w:bookmarkEnd w:id="126"/>
      <w:bookmarkEnd w:id="127"/>
    </w:p>
    <w:p w14:paraId="4C5E4DC5">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28" w:name="_Toc8784"/>
      <w:bookmarkStart w:id="129" w:name="_Toc16751"/>
      <w:bookmarkStart w:id="130" w:name="_Toc21165"/>
      <w:bookmarkStart w:id="131" w:name="_Toc11782"/>
      <w:bookmarkStart w:id="132" w:name="_Toc18589"/>
      <w:r>
        <w:rPr>
          <w:rFonts w:hint="eastAsia"/>
          <w:lang w:val="en-US" w:eastAsia="zh-CN"/>
        </w:rPr>
        <w:t>三维</w:t>
      </w:r>
      <w:r>
        <w:rPr>
          <w:rFonts w:hint="eastAsia"/>
        </w:rPr>
        <w:t>探地雷达</w:t>
      </w:r>
      <w:r>
        <w:rPr>
          <w:rFonts w:hint="eastAsia"/>
          <w:lang w:val="en-US" w:eastAsia="zh-CN"/>
        </w:rPr>
        <w:t>病害信息卡</w:t>
      </w:r>
      <w:bookmarkEnd w:id="128"/>
      <w:bookmarkEnd w:id="129"/>
      <w:bookmarkEnd w:id="130"/>
      <w:bookmarkEnd w:id="131"/>
      <w:bookmarkEnd w:id="132"/>
    </w:p>
    <w:tbl>
      <w:tblPr>
        <w:tblStyle w:val="16"/>
        <w:tblW w:w="497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0"/>
        <w:gridCol w:w="124"/>
        <w:gridCol w:w="3141"/>
        <w:gridCol w:w="1196"/>
        <w:gridCol w:w="3566"/>
      </w:tblGrid>
      <w:tr w14:paraId="68F5D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01" w:hRule="exact"/>
          <w:jc w:val="center"/>
        </w:trPr>
        <w:tc>
          <w:tcPr>
            <w:tcW w:w="783" w:type="pct"/>
            <w:noWrap w:val="0"/>
            <w:vAlign w:val="center"/>
          </w:tcPr>
          <w:p w14:paraId="747B9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路线名称</w:t>
            </w:r>
          </w:p>
        </w:tc>
        <w:tc>
          <w:tcPr>
            <w:tcW w:w="1715" w:type="pct"/>
            <w:gridSpan w:val="2"/>
            <w:noWrap w:val="0"/>
            <w:vAlign w:val="center"/>
          </w:tcPr>
          <w:p w14:paraId="65A757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c>
          <w:tcPr>
            <w:tcW w:w="628" w:type="pct"/>
            <w:noWrap w:val="0"/>
            <w:vAlign w:val="center"/>
          </w:tcPr>
          <w:p w14:paraId="4CF4C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rPr>
            </w:pPr>
            <w:r>
              <w:rPr>
                <w:rFonts w:hint="eastAsia" w:asciiTheme="minorEastAsia" w:hAnsiTheme="minorEastAsia" w:eastAsiaTheme="minorEastAsia" w:cstheme="minorEastAsia"/>
                <w:b w:val="0"/>
                <w:bCs/>
                <w:sz w:val="18"/>
                <w:szCs w:val="18"/>
                <w:highlight w:val="none"/>
                <w:lang w:val="en-US" w:eastAsia="zh-CN"/>
              </w:rPr>
              <w:t>编    号</w:t>
            </w:r>
          </w:p>
        </w:tc>
        <w:tc>
          <w:tcPr>
            <w:tcW w:w="1872" w:type="pct"/>
            <w:noWrap w:val="0"/>
            <w:vAlign w:val="center"/>
          </w:tcPr>
          <w:p w14:paraId="05B44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r w14:paraId="081BC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jc w:val="center"/>
        </w:trPr>
        <w:tc>
          <w:tcPr>
            <w:tcW w:w="783" w:type="pct"/>
            <w:noWrap w:val="0"/>
            <w:vAlign w:val="center"/>
          </w:tcPr>
          <w:p w14:paraId="7F382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病害位置</w:t>
            </w:r>
          </w:p>
        </w:tc>
        <w:tc>
          <w:tcPr>
            <w:tcW w:w="1715" w:type="pct"/>
            <w:gridSpan w:val="2"/>
            <w:noWrap w:val="0"/>
            <w:vAlign w:val="center"/>
          </w:tcPr>
          <w:p w14:paraId="4EC38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c>
          <w:tcPr>
            <w:tcW w:w="628" w:type="pct"/>
            <w:noWrap w:val="0"/>
            <w:vAlign w:val="center"/>
          </w:tcPr>
          <w:p w14:paraId="3CA07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桩    号</w:t>
            </w:r>
          </w:p>
        </w:tc>
        <w:tc>
          <w:tcPr>
            <w:tcW w:w="1872" w:type="pct"/>
            <w:noWrap w:val="0"/>
            <w:vAlign w:val="center"/>
          </w:tcPr>
          <w:p w14:paraId="7F5CA8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r w14:paraId="10606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3" w:hRule="exact"/>
          <w:jc w:val="center"/>
        </w:trPr>
        <w:tc>
          <w:tcPr>
            <w:tcW w:w="783" w:type="pct"/>
            <w:noWrap w:val="0"/>
            <w:vAlign w:val="center"/>
          </w:tcPr>
          <w:p w14:paraId="4D6878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病害</w:t>
            </w:r>
            <w:r>
              <w:rPr>
                <w:rFonts w:hint="eastAsia" w:asciiTheme="minorEastAsia" w:hAnsiTheme="minorEastAsia" w:eastAsiaTheme="minorEastAsia" w:cstheme="minorEastAsia"/>
                <w:b w:val="0"/>
                <w:bCs/>
                <w:sz w:val="18"/>
                <w:szCs w:val="18"/>
                <w:highlight w:val="none"/>
                <w:lang w:val="en-US" w:eastAsia="zh-CN"/>
              </w:rPr>
              <w:t>类型</w:t>
            </w:r>
          </w:p>
        </w:tc>
        <w:tc>
          <w:tcPr>
            <w:tcW w:w="1715" w:type="pct"/>
            <w:gridSpan w:val="2"/>
            <w:noWrap w:val="0"/>
            <w:vAlign w:val="center"/>
          </w:tcPr>
          <w:p w14:paraId="5CB3E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c>
          <w:tcPr>
            <w:tcW w:w="628" w:type="pct"/>
            <w:noWrap w:val="0"/>
            <w:vAlign w:val="center"/>
          </w:tcPr>
          <w:p w14:paraId="67884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rPr>
            </w:pPr>
            <w:r>
              <w:rPr>
                <w:rFonts w:hint="eastAsia" w:asciiTheme="minorEastAsia" w:hAnsiTheme="minorEastAsia" w:eastAsiaTheme="minorEastAsia" w:cstheme="minorEastAsia"/>
                <w:b w:val="0"/>
                <w:bCs/>
                <w:sz w:val="18"/>
                <w:szCs w:val="18"/>
                <w:highlight w:val="none"/>
                <w:lang w:val="en-US" w:eastAsia="zh-CN"/>
              </w:rPr>
              <w:t>中心坐标</w:t>
            </w:r>
          </w:p>
        </w:tc>
        <w:tc>
          <w:tcPr>
            <w:tcW w:w="1872" w:type="pct"/>
            <w:noWrap w:val="0"/>
            <w:vAlign w:val="center"/>
          </w:tcPr>
          <w:p w14:paraId="1A887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p w14:paraId="088F34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lang w:val="en-US" w:eastAsia="zh-CN"/>
              </w:rPr>
              <w:t>E</w:t>
            </w:r>
          </w:p>
        </w:tc>
      </w:tr>
      <w:tr w14:paraId="089D3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4" w:hRule="exact"/>
          <w:jc w:val="center"/>
        </w:trPr>
        <w:tc>
          <w:tcPr>
            <w:tcW w:w="783" w:type="pct"/>
            <w:noWrap w:val="0"/>
            <w:vAlign w:val="center"/>
          </w:tcPr>
          <w:p w14:paraId="507428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影响范围(m)</w:t>
            </w:r>
          </w:p>
        </w:tc>
        <w:tc>
          <w:tcPr>
            <w:tcW w:w="1715" w:type="pct"/>
            <w:gridSpan w:val="2"/>
            <w:noWrap w:val="0"/>
            <w:vAlign w:val="center"/>
          </w:tcPr>
          <w:p w14:paraId="483D5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c>
          <w:tcPr>
            <w:tcW w:w="628" w:type="pct"/>
            <w:noWrap w:val="0"/>
            <w:vAlign w:val="center"/>
          </w:tcPr>
          <w:p w14:paraId="20F8A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深度范围（cm）</w:t>
            </w:r>
          </w:p>
        </w:tc>
        <w:tc>
          <w:tcPr>
            <w:tcW w:w="1872" w:type="pct"/>
            <w:noWrap w:val="0"/>
            <w:vAlign w:val="center"/>
          </w:tcPr>
          <w:p w14:paraId="19042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r w14:paraId="42AD9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exact"/>
          <w:jc w:val="center"/>
        </w:trPr>
        <w:tc>
          <w:tcPr>
            <w:tcW w:w="2498" w:type="pct"/>
            <w:gridSpan w:val="3"/>
            <w:noWrap w:val="0"/>
            <w:vAlign w:val="center"/>
          </w:tcPr>
          <w:p w14:paraId="0CAC7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雷达</w:t>
            </w:r>
            <w:r>
              <w:rPr>
                <w:rFonts w:hint="eastAsia" w:asciiTheme="minorEastAsia" w:hAnsiTheme="minorEastAsia" w:eastAsiaTheme="minorEastAsia" w:cstheme="minorEastAsia"/>
                <w:b w:val="0"/>
                <w:bCs/>
                <w:sz w:val="18"/>
                <w:szCs w:val="18"/>
                <w:highlight w:val="none"/>
                <w:lang w:val="en-US" w:eastAsia="zh-CN"/>
              </w:rPr>
              <w:t>图谱（平面）</w:t>
            </w:r>
          </w:p>
        </w:tc>
        <w:tc>
          <w:tcPr>
            <w:tcW w:w="2501" w:type="pct"/>
            <w:gridSpan w:val="2"/>
            <w:noWrap w:val="0"/>
            <w:vAlign w:val="center"/>
          </w:tcPr>
          <w:p w14:paraId="254E3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雷达</w:t>
            </w:r>
            <w:r>
              <w:rPr>
                <w:rFonts w:hint="eastAsia" w:asciiTheme="minorEastAsia" w:hAnsiTheme="minorEastAsia" w:eastAsiaTheme="minorEastAsia" w:cstheme="minorEastAsia"/>
                <w:b w:val="0"/>
                <w:bCs/>
                <w:sz w:val="18"/>
                <w:szCs w:val="18"/>
                <w:highlight w:val="none"/>
                <w:lang w:val="en-US" w:eastAsia="zh-CN"/>
              </w:rPr>
              <w:t>图谱（纵剖面）</w:t>
            </w:r>
          </w:p>
        </w:tc>
      </w:tr>
      <w:tr w14:paraId="0E205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2498" w:type="pct"/>
            <w:gridSpan w:val="3"/>
            <w:noWrap w:val="0"/>
            <w:vAlign w:val="center"/>
          </w:tcPr>
          <w:p w14:paraId="07594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c>
          <w:tcPr>
            <w:tcW w:w="2501" w:type="pct"/>
            <w:gridSpan w:val="2"/>
            <w:noWrap w:val="0"/>
            <w:vAlign w:val="center"/>
          </w:tcPr>
          <w:p w14:paraId="45EBD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r>
      <w:tr w14:paraId="5DAA8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2498" w:type="pct"/>
            <w:gridSpan w:val="3"/>
            <w:noWrap w:val="0"/>
            <w:vAlign w:val="center"/>
          </w:tcPr>
          <w:p w14:paraId="09BD4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景观图片</w:t>
            </w:r>
          </w:p>
        </w:tc>
        <w:tc>
          <w:tcPr>
            <w:tcW w:w="2501" w:type="pct"/>
            <w:gridSpan w:val="2"/>
            <w:noWrap w:val="0"/>
            <w:vAlign w:val="center"/>
          </w:tcPr>
          <w:p w14:paraId="3D9B1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地理位置示意</w:t>
            </w:r>
          </w:p>
        </w:tc>
      </w:tr>
      <w:tr w14:paraId="2ACAD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0" w:hRule="atLeast"/>
          <w:jc w:val="center"/>
        </w:trPr>
        <w:tc>
          <w:tcPr>
            <w:tcW w:w="2498" w:type="pct"/>
            <w:gridSpan w:val="3"/>
            <w:noWrap w:val="0"/>
            <w:vAlign w:val="center"/>
          </w:tcPr>
          <w:p w14:paraId="0ECF8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c>
          <w:tcPr>
            <w:tcW w:w="2501" w:type="pct"/>
            <w:gridSpan w:val="2"/>
            <w:noWrap w:val="0"/>
            <w:vAlign w:val="center"/>
          </w:tcPr>
          <w:p w14:paraId="3C9F0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r>
      <w:tr w14:paraId="68EEC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6" w:hRule="atLeast"/>
          <w:jc w:val="center"/>
        </w:trPr>
        <w:tc>
          <w:tcPr>
            <w:tcW w:w="2498" w:type="pct"/>
            <w:gridSpan w:val="3"/>
            <w:noWrap w:val="0"/>
            <w:vAlign w:val="center"/>
          </w:tcPr>
          <w:p w14:paraId="28B21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（路表图片）</w:t>
            </w:r>
          </w:p>
        </w:tc>
        <w:tc>
          <w:tcPr>
            <w:tcW w:w="2501" w:type="pct"/>
            <w:gridSpan w:val="2"/>
            <w:noWrap w:val="0"/>
            <w:vAlign w:val="center"/>
          </w:tcPr>
          <w:p w14:paraId="2B222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（现场验证照片）</w:t>
            </w:r>
          </w:p>
        </w:tc>
      </w:tr>
      <w:tr w14:paraId="7C804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1" w:hRule="atLeast"/>
          <w:jc w:val="center"/>
        </w:trPr>
        <w:tc>
          <w:tcPr>
            <w:tcW w:w="2498" w:type="pct"/>
            <w:gridSpan w:val="3"/>
            <w:noWrap w:val="0"/>
            <w:vAlign w:val="center"/>
          </w:tcPr>
          <w:p w14:paraId="7A1F0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c>
          <w:tcPr>
            <w:tcW w:w="2501" w:type="pct"/>
            <w:gridSpan w:val="2"/>
            <w:noWrap w:val="0"/>
            <w:vAlign w:val="center"/>
          </w:tcPr>
          <w:p w14:paraId="420A1D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r>
      <w:tr w14:paraId="4626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848" w:type="pct"/>
            <w:gridSpan w:val="2"/>
            <w:noWrap w:val="0"/>
            <w:vAlign w:val="center"/>
          </w:tcPr>
          <w:p w14:paraId="24F23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原因初步分析</w:t>
            </w:r>
          </w:p>
        </w:tc>
        <w:tc>
          <w:tcPr>
            <w:tcW w:w="4151" w:type="pct"/>
            <w:gridSpan w:val="3"/>
            <w:noWrap w:val="0"/>
            <w:vAlign w:val="center"/>
          </w:tcPr>
          <w:p w14:paraId="065D6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r w14:paraId="31538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25" w:hRule="atLeast"/>
          <w:jc w:val="center"/>
        </w:trPr>
        <w:tc>
          <w:tcPr>
            <w:tcW w:w="848" w:type="pct"/>
            <w:gridSpan w:val="2"/>
            <w:noWrap w:val="0"/>
            <w:vAlign w:val="center"/>
          </w:tcPr>
          <w:p w14:paraId="4CDB8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处置建议</w:t>
            </w:r>
          </w:p>
        </w:tc>
        <w:tc>
          <w:tcPr>
            <w:tcW w:w="4151" w:type="pct"/>
            <w:gridSpan w:val="3"/>
            <w:noWrap w:val="0"/>
            <w:vAlign w:val="center"/>
          </w:tcPr>
          <w:p w14:paraId="507B2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bl>
    <w:p w14:paraId="0C1EF9EB">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sz w:val="21"/>
          <w:szCs w:val="21"/>
        </w:rPr>
        <w:sectPr>
          <w:footerReference r:id="rId29" w:type="default"/>
          <w:pgSz w:w="11906" w:h="16838"/>
          <w:pgMar w:top="1417" w:right="1134" w:bottom="1134" w:left="1417" w:header="283" w:footer="1134"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133" w:name="_Toc16886"/>
      <w:bookmarkStart w:id="134" w:name="_Toc20669"/>
      <w:r>
        <w:rPr>
          <w:rFonts w:hint="eastAsia" w:asciiTheme="minorEastAsia" w:hAnsiTheme="minorEastAsia" w:eastAsiaTheme="minorEastAsia" w:cstheme="minorEastAsia"/>
          <w:b w:val="0"/>
          <w:bCs w:val="0"/>
          <w:kern w:val="0"/>
          <w:sz w:val="18"/>
          <w:szCs w:val="18"/>
        </w:rPr>
        <w:t>检测:</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记录:</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复核:</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sz w:val="21"/>
          <w:szCs w:val="21"/>
        </w:rPr>
        <w:t xml:space="preserve">                                第   页/共   页</w:t>
      </w:r>
    </w:p>
    <w:p w14:paraId="42532D61">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35" w:name="_Toc22500"/>
      <w:r>
        <w:rPr>
          <w:rFonts w:hint="eastAsia"/>
        </w:rPr>
        <w:t>附录</w:t>
      </w:r>
      <w:r>
        <w:rPr>
          <w:rFonts w:hint="eastAsia"/>
          <w:lang w:val="en-US" w:eastAsia="zh-CN"/>
        </w:rPr>
        <w:t>E</w:t>
      </w:r>
      <w:bookmarkEnd w:id="133"/>
      <w:bookmarkEnd w:id="134"/>
      <w:bookmarkEnd w:id="135"/>
    </w:p>
    <w:p w14:paraId="54FDF2AF">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36" w:name="_Toc1500"/>
      <w:bookmarkStart w:id="137" w:name="_Toc11584"/>
      <w:bookmarkStart w:id="138" w:name="_Toc7378"/>
      <w:bookmarkStart w:id="139" w:name="_Toc21696"/>
      <w:bookmarkStart w:id="140" w:name="_Toc7320"/>
      <w:r>
        <w:rPr>
          <w:rFonts w:hint="eastAsia"/>
          <w:lang w:val="en-US" w:eastAsia="zh-CN"/>
        </w:rPr>
        <w:t>三维探地雷达病害统计表</w:t>
      </w:r>
      <w:bookmarkEnd w:id="136"/>
      <w:bookmarkEnd w:id="137"/>
      <w:bookmarkEnd w:id="138"/>
      <w:bookmarkEnd w:id="139"/>
      <w:bookmarkEnd w:id="140"/>
    </w:p>
    <w:tbl>
      <w:tblPr>
        <w:tblStyle w:val="16"/>
        <w:tblW w:w="501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97"/>
        <w:gridCol w:w="799"/>
        <w:gridCol w:w="799"/>
        <w:gridCol w:w="799"/>
        <w:gridCol w:w="799"/>
        <w:gridCol w:w="799"/>
        <w:gridCol w:w="799"/>
        <w:gridCol w:w="799"/>
        <w:gridCol w:w="951"/>
        <w:gridCol w:w="645"/>
        <w:gridCol w:w="799"/>
        <w:gridCol w:w="809"/>
      </w:tblGrid>
      <w:tr w14:paraId="66C8AC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798" w:hRule="atLeast"/>
        </w:trPr>
        <w:tc>
          <w:tcPr>
            <w:tcW w:w="415" w:type="pct"/>
            <w:tcBorders>
              <w:tl2br w:val="nil"/>
              <w:tr2bl w:val="nil"/>
            </w:tcBorders>
            <w:shd w:val="clear" w:color="auto" w:fill="auto"/>
            <w:vAlign w:val="center"/>
          </w:tcPr>
          <w:p w14:paraId="0D327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编号</w:t>
            </w:r>
          </w:p>
        </w:tc>
        <w:tc>
          <w:tcPr>
            <w:tcW w:w="416" w:type="pct"/>
            <w:tcBorders>
              <w:tl2br w:val="nil"/>
              <w:tr2bl w:val="nil"/>
            </w:tcBorders>
            <w:shd w:val="clear" w:color="auto" w:fill="auto"/>
            <w:vAlign w:val="center"/>
          </w:tcPr>
          <w:p w14:paraId="68CB7A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病害</w:t>
            </w:r>
          </w:p>
          <w:p w14:paraId="60DF65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类型</w:t>
            </w:r>
          </w:p>
        </w:tc>
        <w:tc>
          <w:tcPr>
            <w:tcW w:w="416" w:type="pct"/>
            <w:tcBorders>
              <w:tl2br w:val="nil"/>
              <w:tr2bl w:val="nil"/>
            </w:tcBorders>
            <w:shd w:val="clear" w:color="auto" w:fill="auto"/>
            <w:vAlign w:val="center"/>
          </w:tcPr>
          <w:p w14:paraId="2230E3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起始</w:t>
            </w:r>
          </w:p>
          <w:p w14:paraId="3B4C5A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桩号</w:t>
            </w:r>
          </w:p>
        </w:tc>
        <w:tc>
          <w:tcPr>
            <w:tcW w:w="416" w:type="pct"/>
            <w:tcBorders>
              <w:tl2br w:val="nil"/>
              <w:tr2bl w:val="nil"/>
            </w:tcBorders>
            <w:shd w:val="clear" w:color="auto" w:fill="auto"/>
            <w:vAlign w:val="center"/>
          </w:tcPr>
          <w:p w14:paraId="5E5802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终点</w:t>
            </w:r>
          </w:p>
          <w:p w14:paraId="4E119D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桩号</w:t>
            </w:r>
          </w:p>
        </w:tc>
        <w:tc>
          <w:tcPr>
            <w:tcW w:w="416" w:type="pct"/>
            <w:tcBorders>
              <w:tl2br w:val="nil"/>
              <w:tr2bl w:val="nil"/>
            </w:tcBorders>
            <w:shd w:val="clear" w:color="auto" w:fill="auto"/>
            <w:vAlign w:val="center"/>
          </w:tcPr>
          <w:p w14:paraId="7FA3AB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深度</w:t>
            </w:r>
          </w:p>
          <w:p w14:paraId="57FE00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起点（</w:t>
            </w:r>
            <w:r>
              <w:rPr>
                <w:rStyle w:val="39"/>
                <w:rFonts w:hint="eastAsia" w:asciiTheme="minorEastAsia" w:hAnsiTheme="minorEastAsia" w:eastAsiaTheme="minorEastAsia" w:cstheme="minorEastAsia"/>
                <w:sz w:val="18"/>
                <w:szCs w:val="18"/>
                <w:lang w:val="en-US" w:eastAsia="zh-CN" w:bidi="ar"/>
              </w:rPr>
              <w:t>m</w:t>
            </w:r>
            <w:r>
              <w:rPr>
                <w:rStyle w:val="40"/>
                <w:rFonts w:hint="eastAsia" w:asciiTheme="minorEastAsia" w:hAnsiTheme="minorEastAsia" w:eastAsiaTheme="minorEastAsia" w:cstheme="minorEastAsia"/>
                <w:sz w:val="18"/>
                <w:szCs w:val="18"/>
                <w:lang w:val="en-US" w:eastAsia="zh-CN" w:bidi="ar"/>
              </w:rPr>
              <w:t>）</w:t>
            </w:r>
          </w:p>
        </w:tc>
        <w:tc>
          <w:tcPr>
            <w:tcW w:w="416" w:type="pct"/>
            <w:tcBorders>
              <w:tl2br w:val="nil"/>
              <w:tr2bl w:val="nil"/>
            </w:tcBorders>
            <w:shd w:val="clear" w:color="auto" w:fill="auto"/>
            <w:vAlign w:val="center"/>
          </w:tcPr>
          <w:p w14:paraId="5424CF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深度</w:t>
            </w:r>
          </w:p>
          <w:p w14:paraId="1C9D9A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终点（</w:t>
            </w:r>
            <w:r>
              <w:rPr>
                <w:rStyle w:val="39"/>
                <w:rFonts w:hint="eastAsia" w:asciiTheme="minorEastAsia" w:hAnsiTheme="minorEastAsia" w:eastAsiaTheme="minorEastAsia" w:cstheme="minorEastAsia"/>
                <w:sz w:val="18"/>
                <w:szCs w:val="18"/>
                <w:lang w:val="en-US" w:eastAsia="zh-CN" w:bidi="ar"/>
              </w:rPr>
              <w:t>m</w:t>
            </w:r>
            <w:r>
              <w:rPr>
                <w:rStyle w:val="40"/>
                <w:rFonts w:hint="eastAsia" w:asciiTheme="minorEastAsia" w:hAnsiTheme="minorEastAsia" w:eastAsiaTheme="minorEastAsia" w:cstheme="minorEastAsia"/>
                <w:sz w:val="18"/>
                <w:szCs w:val="18"/>
                <w:lang w:val="en-US" w:eastAsia="zh-CN" w:bidi="ar"/>
              </w:rPr>
              <w:t>）</w:t>
            </w:r>
          </w:p>
        </w:tc>
        <w:tc>
          <w:tcPr>
            <w:tcW w:w="416" w:type="pct"/>
            <w:tcBorders>
              <w:tl2br w:val="nil"/>
              <w:tr2bl w:val="nil"/>
            </w:tcBorders>
            <w:shd w:val="clear" w:color="auto" w:fill="auto"/>
            <w:vAlign w:val="center"/>
          </w:tcPr>
          <w:p w14:paraId="6CAF8A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投影</w:t>
            </w:r>
          </w:p>
          <w:p w14:paraId="10DC8E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长度（</w:t>
            </w:r>
            <w:r>
              <w:rPr>
                <w:rStyle w:val="39"/>
                <w:rFonts w:hint="eastAsia" w:asciiTheme="minorEastAsia" w:hAnsiTheme="minorEastAsia" w:eastAsiaTheme="minorEastAsia" w:cstheme="minorEastAsia"/>
                <w:sz w:val="18"/>
                <w:szCs w:val="18"/>
                <w:lang w:val="en-US" w:eastAsia="zh-CN" w:bidi="ar"/>
              </w:rPr>
              <w:t>m</w:t>
            </w:r>
            <w:r>
              <w:rPr>
                <w:rStyle w:val="40"/>
                <w:rFonts w:hint="eastAsia" w:asciiTheme="minorEastAsia" w:hAnsiTheme="minorEastAsia" w:eastAsiaTheme="minorEastAsia" w:cstheme="minorEastAsia"/>
                <w:sz w:val="18"/>
                <w:szCs w:val="18"/>
                <w:lang w:val="en-US" w:eastAsia="zh-CN" w:bidi="ar"/>
              </w:rPr>
              <w:t>）</w:t>
            </w:r>
          </w:p>
        </w:tc>
        <w:tc>
          <w:tcPr>
            <w:tcW w:w="416" w:type="pct"/>
            <w:tcBorders>
              <w:tl2br w:val="nil"/>
              <w:tr2bl w:val="nil"/>
            </w:tcBorders>
            <w:shd w:val="clear" w:color="auto" w:fill="auto"/>
            <w:vAlign w:val="center"/>
          </w:tcPr>
          <w:p w14:paraId="34B524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投影</w:t>
            </w:r>
          </w:p>
          <w:p w14:paraId="263442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宽度（</w:t>
            </w:r>
            <w:r>
              <w:rPr>
                <w:rStyle w:val="39"/>
                <w:rFonts w:hint="eastAsia" w:asciiTheme="minorEastAsia" w:hAnsiTheme="minorEastAsia" w:eastAsiaTheme="minorEastAsia" w:cstheme="minorEastAsia"/>
                <w:sz w:val="18"/>
                <w:szCs w:val="18"/>
                <w:lang w:val="en-US" w:eastAsia="zh-CN" w:bidi="ar"/>
              </w:rPr>
              <w:t>m</w:t>
            </w:r>
            <w:r>
              <w:rPr>
                <w:rStyle w:val="40"/>
                <w:rFonts w:hint="eastAsia" w:asciiTheme="minorEastAsia" w:hAnsiTheme="minorEastAsia" w:eastAsiaTheme="minorEastAsia" w:cstheme="minorEastAsia"/>
                <w:sz w:val="18"/>
                <w:szCs w:val="18"/>
                <w:lang w:val="en-US" w:eastAsia="zh-CN" w:bidi="ar"/>
              </w:rPr>
              <w:t>）</w:t>
            </w:r>
          </w:p>
        </w:tc>
        <w:tc>
          <w:tcPr>
            <w:tcW w:w="495" w:type="pct"/>
            <w:tcBorders>
              <w:tl2br w:val="nil"/>
              <w:tr2bl w:val="nil"/>
            </w:tcBorders>
            <w:shd w:val="clear" w:color="auto" w:fill="auto"/>
            <w:vAlign w:val="center"/>
          </w:tcPr>
          <w:p w14:paraId="6C143F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投影面积</w:t>
            </w:r>
          </w:p>
          <w:p w14:paraId="0A83CB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(m</w:t>
            </w:r>
            <w:r>
              <w:rPr>
                <w:rStyle w:val="41"/>
                <w:rFonts w:hint="eastAsia" w:asciiTheme="minorEastAsia" w:hAnsiTheme="minorEastAsia" w:eastAsiaTheme="minorEastAsia" w:cstheme="minorEastAsia"/>
                <w:sz w:val="18"/>
                <w:szCs w:val="18"/>
                <w:lang w:val="en-US" w:eastAsia="zh-CN" w:bidi="ar"/>
              </w:rPr>
              <w:t>2</w:t>
            </w:r>
            <w:r>
              <w:rPr>
                <w:rStyle w:val="39"/>
                <w:rFonts w:hint="eastAsia" w:asciiTheme="minorEastAsia" w:hAnsiTheme="minorEastAsia" w:eastAsiaTheme="minorEastAsia" w:cstheme="minorEastAsia"/>
                <w:sz w:val="18"/>
                <w:szCs w:val="18"/>
                <w:lang w:val="en-US" w:eastAsia="zh-CN" w:bidi="ar"/>
              </w:rPr>
              <w:t>)</w:t>
            </w:r>
          </w:p>
        </w:tc>
        <w:tc>
          <w:tcPr>
            <w:tcW w:w="336" w:type="pct"/>
            <w:tcBorders>
              <w:tl2br w:val="nil"/>
              <w:tr2bl w:val="nil"/>
            </w:tcBorders>
            <w:shd w:val="clear" w:color="auto" w:fill="auto"/>
            <w:vAlign w:val="center"/>
          </w:tcPr>
          <w:p w14:paraId="0C4243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经度</w:t>
            </w:r>
          </w:p>
        </w:tc>
        <w:tc>
          <w:tcPr>
            <w:tcW w:w="416" w:type="pct"/>
            <w:tcBorders>
              <w:tl2br w:val="nil"/>
              <w:tr2bl w:val="nil"/>
            </w:tcBorders>
            <w:shd w:val="clear" w:color="auto" w:fill="auto"/>
            <w:vAlign w:val="center"/>
          </w:tcPr>
          <w:p w14:paraId="7BF31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纬度</w:t>
            </w:r>
          </w:p>
        </w:tc>
        <w:tc>
          <w:tcPr>
            <w:tcW w:w="421" w:type="pct"/>
            <w:tcBorders>
              <w:tl2br w:val="nil"/>
              <w:tr2bl w:val="nil"/>
            </w:tcBorders>
            <w:shd w:val="clear" w:color="auto" w:fill="auto"/>
            <w:vAlign w:val="center"/>
          </w:tcPr>
          <w:p w14:paraId="2CF29A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备注</w:t>
            </w:r>
          </w:p>
        </w:tc>
      </w:tr>
      <w:tr w14:paraId="5A911E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0CFFD5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96E98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AC19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411D5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D3158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D6BCF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8AD23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B6AD0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15A9D8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4AB494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7048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EBFB2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0CB6F6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0365E9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52AA2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D83D3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D710A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8576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CB703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13C6F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A4C70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7A1A2D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1AC746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49EE8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4287A2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5E92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52" w:hRule="atLeast"/>
        </w:trPr>
        <w:tc>
          <w:tcPr>
            <w:tcW w:w="415" w:type="pct"/>
            <w:tcBorders>
              <w:tl2br w:val="nil"/>
              <w:tr2bl w:val="nil"/>
            </w:tcBorders>
            <w:shd w:val="clear" w:color="auto" w:fill="auto"/>
            <w:vAlign w:val="center"/>
          </w:tcPr>
          <w:p w14:paraId="153842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3BB92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B8F6D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82301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0AC0B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B92E2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0AD58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66B7C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046E67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D6212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3A227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C1EF0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690EA0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AADF8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40CF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0045D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09CD8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979DF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3A3AF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3BA03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24D2A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97892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22CC63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84EE7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98930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3B8675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13A2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58318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E04AA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7E30C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1E582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F0627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12B91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138BA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0A9668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244B6A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1E86D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4F4E8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C2513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E161B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2F42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CF5CD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87C1D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1CA3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9C218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D15C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247C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5A6D0C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4DEE58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AC24C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5194FD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BB2C5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56F68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487E8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BDF36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2868F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B76A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6FB16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3716A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41B1E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091C1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A9B9D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5890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768E4B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FE25A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93F72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DD05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A210E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AC0EE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989A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33386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714C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8C1F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0D95EE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AC4DF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D39D3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7FFBB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34027B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1362D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F0C87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FDBE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D1233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107AB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F87D4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9093E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3791D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7FC66B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8DB34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ADA1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623980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04344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824C0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416FA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DC0AB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234AB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E2780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A463A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57E51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A2E65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CC3F8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E0604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2B4D2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55C252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A4CB2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53F5A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BE7B3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4429D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CE6F7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5CABF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0C18E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49B51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F43D4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65F48C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4A2B21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BAE00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F1B57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5C84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8437B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0539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7C427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3983E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5103A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C2575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F84E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2E08E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45DFF2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14C20C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6F7DF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70EC23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1B2F2A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D8A38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4D95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8841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9B5A2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7E8C7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D2774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D7BD8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39A24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B0531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6B65A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DE44A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7390BE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48D20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2" w:hRule="atLeast"/>
        </w:trPr>
        <w:tc>
          <w:tcPr>
            <w:tcW w:w="415" w:type="pct"/>
            <w:tcBorders>
              <w:tl2br w:val="nil"/>
              <w:tr2bl w:val="nil"/>
            </w:tcBorders>
            <w:shd w:val="clear" w:color="auto" w:fill="auto"/>
            <w:vAlign w:val="center"/>
          </w:tcPr>
          <w:p w14:paraId="6DF0A9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C0E0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75A15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AF8F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C5F05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F96A7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8870A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DC9CF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FDC59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576413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0FD4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6FE895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0889F9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93366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FE8B7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0CB5C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C73B7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CBFB5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76E84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03DA9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AFF68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3D654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4916F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00743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984DE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00BA29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53E8B2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36FCB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ABA69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22CB0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3D3C5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01B10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7DE5E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EF277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14058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DB180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81CF3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5015A7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7696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337A3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B8361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E5B05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C764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471DA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A460F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14F75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BD2B5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4BFD18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F2CA9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6FF77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7A7A9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45C6D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3D0F1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29769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573B3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9F5BA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29D59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2AED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4A09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3657F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7A589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58182E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7DEBF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71D444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9EA3E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164DF9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1CA06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CBCF0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FFDC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04A51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611C9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B3A1B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8029B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422124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198F52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F8FE6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587868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0795C1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0194FA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14032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62307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89977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8A8F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1F656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46951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51D81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16FC4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EE3C9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014AD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30DD4B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3D79E2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D496C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05050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9D9F7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5F12A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0678A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BE09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19872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B5CE7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EBD3F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010D4B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25E0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309AE0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DF777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0A6482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35ADB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5F3A2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3A410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766C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3F347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1D3D9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C41F3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703EC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9A9C6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78F8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AD2A3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4C019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5CF1E9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CF5DD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2779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7E8B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C76DD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3851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B9553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C7852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9507F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0F136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4B33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B3524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8068A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AA13C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EB3F9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19CDD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D2686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93A70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9DE4F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56A77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26434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23273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125237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3127F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85E91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6D7A2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11A1F8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25C40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10FD9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AA9A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099A8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67D1A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9FB39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7E83B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14CEC3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05530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FF750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698896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806F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546907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DA2E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906F9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B935E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19522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CAA67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3661F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C7BA0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1CA700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3393C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3C882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19004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C81F6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0CF46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E5C1B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AA527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49CD3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71DAB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4EA65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65EC6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A7F6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1ACB05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4991A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532DE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E4B0B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5F0C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1049E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9515F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83921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46DC3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F65F9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B694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CAB94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BDDE0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79EDB3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182E8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C5EB3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354062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462D4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193CC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72CC3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002BB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FCDE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8A3C5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BB9B9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F82B7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D64ED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5DB080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D8ED0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8B342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47CC3F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726E8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B3F83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6BBC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D0B85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112D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47019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5A58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6C8A4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08D87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A1DBB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C3E78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3B73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309F5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97722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4E671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75F0A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A5B4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99DC5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3E014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8BD76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D3153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676B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5D99E8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6F264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1EF57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C6E71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5DCBA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06A49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C77E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AE91F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91CDC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4C47D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0745E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96470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9F51E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036383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6A1D5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23DD6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47870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32DB4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415" w:type="pct"/>
            <w:tcBorders>
              <w:tl2br w:val="nil"/>
              <w:tr2bl w:val="nil"/>
            </w:tcBorders>
            <w:shd w:val="clear" w:color="auto" w:fill="auto"/>
            <w:vAlign w:val="center"/>
          </w:tcPr>
          <w:p w14:paraId="630B0C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C9C92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C07FA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8C408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5F4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CCF5A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5911E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FBE2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CC96E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BE250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92E4F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738C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bl>
    <w:p w14:paraId="68091B75">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sz w:val="21"/>
          <w:szCs w:val="21"/>
        </w:rPr>
        <w:sectPr>
          <w:footerReference r:id="rId30" w:type="default"/>
          <w:pgSz w:w="11906" w:h="16838"/>
          <w:pgMar w:top="1417" w:right="1134" w:bottom="1134" w:left="1417" w:header="283"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heme="minorEastAsia" w:hAnsiTheme="minorEastAsia" w:eastAsiaTheme="minorEastAsia" w:cstheme="minorEastAsia"/>
          <w:b w:val="0"/>
          <w:bCs w:val="0"/>
          <w:kern w:val="0"/>
          <w:sz w:val="18"/>
          <w:szCs w:val="18"/>
        </w:rPr>
        <w:t>检测:</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记录:</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复核:</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sz w:val="21"/>
          <w:szCs w:val="21"/>
        </w:rPr>
        <w:t xml:space="preserve">                                第   页/共   页</w:t>
      </w:r>
    </w:p>
    <w:p w14:paraId="4F7773C8">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41" w:name="_Toc11203"/>
      <w:bookmarkStart w:id="142" w:name="_Toc19985"/>
      <w:bookmarkStart w:id="143" w:name="_Toc21223"/>
      <w:bookmarkStart w:id="144" w:name="_Toc20952"/>
      <w:r>
        <w:rPr>
          <w:rFonts w:hint="eastAsia"/>
        </w:rPr>
        <w:t>附录</w:t>
      </w:r>
      <w:r>
        <w:rPr>
          <w:rFonts w:hint="eastAsia"/>
          <w:lang w:val="en-US" w:eastAsia="zh-CN"/>
        </w:rPr>
        <w:t>F</w:t>
      </w:r>
      <w:bookmarkEnd w:id="141"/>
      <w:bookmarkEnd w:id="142"/>
      <w:bookmarkEnd w:id="143"/>
      <w:bookmarkEnd w:id="144"/>
    </w:p>
    <w:p w14:paraId="3F90B55B">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lang w:val="en-US" w:eastAsia="zh-CN"/>
        </w:rPr>
      </w:pPr>
      <w:bookmarkStart w:id="145" w:name="_Toc643"/>
      <w:bookmarkStart w:id="146" w:name="_Toc6659"/>
      <w:bookmarkStart w:id="147" w:name="_Toc23566"/>
      <w:bookmarkStart w:id="148" w:name="_Toc32154"/>
      <w:bookmarkStart w:id="149" w:name="_Toc15097"/>
      <w:r>
        <w:rPr>
          <w:rFonts w:hint="eastAsia"/>
          <w:lang w:val="en-US" w:eastAsia="zh-CN"/>
        </w:rPr>
        <w:t>典型雷达图谱</w:t>
      </w:r>
      <w:bookmarkEnd w:id="145"/>
      <w:bookmarkEnd w:id="146"/>
      <w:bookmarkEnd w:id="147"/>
      <w:bookmarkEnd w:id="148"/>
      <w:bookmarkEnd w:id="149"/>
    </w:p>
    <w:p w14:paraId="7DF859BD">
      <w:pPr>
        <w:spacing w:line="360" w:lineRule="auto"/>
        <w:ind w:firstLine="48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隐患典型雷达图谱解译，可参考本文所示。</w:t>
      </w:r>
    </w:p>
    <w:tbl>
      <w:tblPr>
        <w:tblStyle w:val="16"/>
        <w:tblW w:w="49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896"/>
        <w:gridCol w:w="2243"/>
        <w:gridCol w:w="2724"/>
      </w:tblGrid>
      <w:tr w14:paraId="3C928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exact"/>
          <w:tblHeader/>
          <w:jc w:val="center"/>
        </w:trPr>
        <w:tc>
          <w:tcPr>
            <w:tcW w:w="838" w:type="pct"/>
            <w:vMerge w:val="restart"/>
            <w:tcBorders>
              <w:tl2br w:val="nil"/>
              <w:tr2bl w:val="nil"/>
            </w:tcBorders>
            <w:noWrap w:val="0"/>
            <w:vAlign w:val="center"/>
          </w:tcPr>
          <w:p w14:paraId="22266E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目标类型</w:t>
            </w:r>
          </w:p>
          <w:p w14:paraId="77B2F9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（地下隐患体）</w:t>
            </w:r>
          </w:p>
        </w:tc>
        <w:tc>
          <w:tcPr>
            <w:tcW w:w="4161" w:type="pct"/>
            <w:gridSpan w:val="3"/>
            <w:tcBorders>
              <w:tl2br w:val="nil"/>
              <w:tr2bl w:val="nil"/>
            </w:tcBorders>
            <w:noWrap w:val="0"/>
            <w:vAlign w:val="center"/>
          </w:tcPr>
          <w:p w14:paraId="1A91E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图像特征</w:t>
            </w:r>
          </w:p>
        </w:tc>
      </w:tr>
      <w:tr w14:paraId="13BF8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exact"/>
          <w:tblHeader/>
          <w:jc w:val="center"/>
        </w:trPr>
        <w:tc>
          <w:tcPr>
            <w:tcW w:w="838" w:type="pct"/>
            <w:vMerge w:val="continue"/>
            <w:tcBorders>
              <w:tl2br w:val="nil"/>
              <w:tr2bl w:val="nil"/>
            </w:tcBorders>
            <w:noWrap w:val="0"/>
            <w:vAlign w:val="center"/>
          </w:tcPr>
          <w:p w14:paraId="25757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p>
        </w:tc>
        <w:tc>
          <w:tcPr>
            <w:tcW w:w="2719" w:type="pct"/>
            <w:gridSpan w:val="2"/>
            <w:tcBorders>
              <w:tl2br w:val="nil"/>
              <w:tr2bl w:val="nil"/>
            </w:tcBorders>
            <w:noWrap w:val="0"/>
            <w:vAlign w:val="center"/>
          </w:tcPr>
          <w:p w14:paraId="765DB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典型雷达灰度图</w:t>
            </w:r>
          </w:p>
        </w:tc>
        <w:tc>
          <w:tcPr>
            <w:tcW w:w="1441" w:type="pct"/>
            <w:vMerge w:val="restart"/>
            <w:tcBorders>
              <w:tl2br w:val="nil"/>
              <w:tr2bl w:val="nil"/>
            </w:tcBorders>
            <w:noWrap w:val="0"/>
            <w:vAlign w:val="center"/>
          </w:tcPr>
          <w:p w14:paraId="773A57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特征描述</w:t>
            </w:r>
          </w:p>
        </w:tc>
      </w:tr>
      <w:tr w14:paraId="4AD60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exact"/>
          <w:tblHeader/>
          <w:jc w:val="center"/>
        </w:trPr>
        <w:tc>
          <w:tcPr>
            <w:tcW w:w="838" w:type="pct"/>
            <w:vMerge w:val="continue"/>
            <w:tcBorders>
              <w:tl2br w:val="nil"/>
              <w:tr2bl w:val="nil"/>
            </w:tcBorders>
            <w:noWrap w:val="0"/>
            <w:vAlign w:val="center"/>
          </w:tcPr>
          <w:p w14:paraId="400B9E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eastAsia="zh-CN"/>
              </w:rPr>
            </w:pPr>
          </w:p>
        </w:tc>
        <w:tc>
          <w:tcPr>
            <w:tcW w:w="1532" w:type="pct"/>
            <w:tcBorders>
              <w:tl2br w:val="nil"/>
              <w:tr2bl w:val="nil"/>
            </w:tcBorders>
            <w:noWrap w:val="0"/>
            <w:vAlign w:val="center"/>
          </w:tcPr>
          <w:p w14:paraId="57BEF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垂直剖面图</w:t>
            </w:r>
          </w:p>
        </w:tc>
        <w:tc>
          <w:tcPr>
            <w:tcW w:w="1187" w:type="pct"/>
            <w:tcBorders>
              <w:tl2br w:val="nil"/>
              <w:tr2bl w:val="nil"/>
            </w:tcBorders>
            <w:noWrap w:val="0"/>
            <w:vAlign w:val="center"/>
          </w:tcPr>
          <w:p w14:paraId="1A20E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水平剖面图</w:t>
            </w:r>
          </w:p>
        </w:tc>
        <w:tc>
          <w:tcPr>
            <w:tcW w:w="1441" w:type="pct"/>
            <w:vMerge w:val="continue"/>
            <w:tcBorders>
              <w:tl2br w:val="nil"/>
              <w:tr2bl w:val="nil"/>
            </w:tcBorders>
            <w:noWrap w:val="0"/>
            <w:vAlign w:val="center"/>
          </w:tcPr>
          <w:p w14:paraId="61BF3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p>
        </w:tc>
      </w:tr>
      <w:tr w14:paraId="2201C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6" w:hRule="exact"/>
          <w:jc w:val="center"/>
        </w:trPr>
        <w:tc>
          <w:tcPr>
            <w:tcW w:w="838" w:type="pct"/>
            <w:tcBorders>
              <w:tl2br w:val="nil"/>
              <w:tr2bl w:val="nil"/>
            </w:tcBorders>
            <w:noWrap w:val="0"/>
            <w:vAlign w:val="center"/>
          </w:tcPr>
          <w:p w14:paraId="65899B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无严重隐患</w:t>
            </w:r>
          </w:p>
        </w:tc>
        <w:tc>
          <w:tcPr>
            <w:tcW w:w="1532" w:type="pct"/>
            <w:tcBorders>
              <w:tl2br w:val="nil"/>
              <w:tr2bl w:val="nil"/>
            </w:tcBorders>
            <w:noWrap w:val="0"/>
            <w:vAlign w:val="center"/>
          </w:tcPr>
          <w:p w14:paraId="3E355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861185" cy="1164590"/>
                  <wp:effectExtent l="0" t="0" r="13335" b="8890"/>
                  <wp:docPr id="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pic:cNvPicPr>
                            <a:picLocks noChangeAspect="1"/>
                          </pic:cNvPicPr>
                        </pic:nvPicPr>
                        <pic:blipFill>
                          <a:blip r:embed="rId37"/>
                          <a:srcRect r="26247"/>
                          <a:stretch>
                            <a:fillRect/>
                          </a:stretch>
                        </pic:blipFill>
                        <pic:spPr>
                          <a:xfrm>
                            <a:off x="0" y="0"/>
                            <a:ext cx="1861185" cy="1164590"/>
                          </a:xfrm>
                          <a:prstGeom prst="rect">
                            <a:avLst/>
                          </a:prstGeom>
                          <a:noFill/>
                          <a:ln>
                            <a:noFill/>
                          </a:ln>
                        </pic:spPr>
                      </pic:pic>
                    </a:graphicData>
                  </a:graphic>
                </wp:inline>
              </w:drawing>
            </w:r>
          </w:p>
        </w:tc>
        <w:tc>
          <w:tcPr>
            <w:tcW w:w="1187" w:type="pct"/>
            <w:tcBorders>
              <w:tl2br w:val="nil"/>
              <w:tr2bl w:val="nil"/>
            </w:tcBorders>
            <w:noWrap w:val="0"/>
            <w:vAlign w:val="center"/>
          </w:tcPr>
          <w:p w14:paraId="5B3206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sz w:val="18"/>
                <w:szCs w:val="18"/>
                <w:highlight w:val="none"/>
              </w:rPr>
              <w:drawing>
                <wp:inline distT="0" distB="0" distL="114300" distR="114300">
                  <wp:extent cx="1534160" cy="1080770"/>
                  <wp:effectExtent l="0" t="0" r="1270" b="5080"/>
                  <wp:docPr id="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4"/>
                          <pic:cNvPicPr>
                            <a:picLocks noChangeAspect="1"/>
                          </pic:cNvPicPr>
                        </pic:nvPicPr>
                        <pic:blipFill>
                          <a:blip r:embed="rId38"/>
                          <a:srcRect l="17001" r="35143"/>
                          <a:stretch>
                            <a:fillRect/>
                          </a:stretch>
                        </pic:blipFill>
                        <pic:spPr>
                          <a:xfrm rot="5400000">
                            <a:off x="0" y="0"/>
                            <a:ext cx="1534160" cy="1080770"/>
                          </a:xfrm>
                          <a:prstGeom prst="rect">
                            <a:avLst/>
                          </a:prstGeom>
                          <a:noFill/>
                          <a:ln>
                            <a:noFill/>
                          </a:ln>
                        </pic:spPr>
                      </pic:pic>
                    </a:graphicData>
                  </a:graphic>
                </wp:inline>
              </w:drawing>
            </w:r>
          </w:p>
        </w:tc>
        <w:tc>
          <w:tcPr>
            <w:tcW w:w="1441" w:type="pct"/>
            <w:tcBorders>
              <w:tl2br w:val="nil"/>
              <w:tr2bl w:val="nil"/>
            </w:tcBorders>
            <w:noWrap w:val="0"/>
            <w:vAlign w:val="center"/>
          </w:tcPr>
          <w:p w14:paraId="301A09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垂直剖面：各结构层反射波同相轴连续性好且能量均匀或无明显反射波同相轴可循，反射波能量规律性衰减。</w:t>
            </w:r>
          </w:p>
          <w:p w14:paraId="537BCE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水平剖面：反射波能量均匀，图像颜色均匀，无明显规则色块分布。</w:t>
            </w:r>
          </w:p>
        </w:tc>
      </w:tr>
      <w:tr w14:paraId="6962C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0" w:hRule="exact"/>
          <w:jc w:val="center"/>
        </w:trPr>
        <w:tc>
          <w:tcPr>
            <w:tcW w:w="838" w:type="pct"/>
            <w:vMerge w:val="restart"/>
            <w:tcBorders>
              <w:tl2br w:val="nil"/>
              <w:tr2bl w:val="nil"/>
            </w:tcBorders>
            <w:noWrap w:val="0"/>
            <w:vAlign w:val="center"/>
          </w:tcPr>
          <w:p w14:paraId="6FE25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管线</w:t>
            </w:r>
          </w:p>
        </w:tc>
        <w:tc>
          <w:tcPr>
            <w:tcW w:w="1532" w:type="pct"/>
            <w:tcBorders>
              <w:tl2br w:val="nil"/>
              <w:tr2bl w:val="nil"/>
            </w:tcBorders>
            <w:noWrap w:val="0"/>
            <w:vAlign w:val="center"/>
          </w:tcPr>
          <w:p w14:paraId="43581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927860" cy="1841500"/>
                  <wp:effectExtent l="0" t="0" r="7620" b="2540"/>
                  <wp:docPr id="2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5"/>
                          <pic:cNvPicPr>
                            <a:picLocks noChangeAspect="1"/>
                          </pic:cNvPicPr>
                        </pic:nvPicPr>
                        <pic:blipFill>
                          <a:blip r:embed="rId39"/>
                          <a:stretch>
                            <a:fillRect/>
                          </a:stretch>
                        </pic:blipFill>
                        <pic:spPr>
                          <a:xfrm>
                            <a:off x="0" y="0"/>
                            <a:ext cx="1927860" cy="1841500"/>
                          </a:xfrm>
                          <a:prstGeom prst="rect">
                            <a:avLst/>
                          </a:prstGeom>
                          <a:noFill/>
                          <a:ln>
                            <a:noFill/>
                          </a:ln>
                        </pic:spPr>
                      </pic:pic>
                    </a:graphicData>
                  </a:graphic>
                </wp:inline>
              </w:drawing>
            </w:r>
          </w:p>
        </w:tc>
        <w:tc>
          <w:tcPr>
            <w:tcW w:w="1187" w:type="pct"/>
            <w:tcBorders>
              <w:tl2br w:val="nil"/>
              <w:tr2bl w:val="nil"/>
            </w:tcBorders>
            <w:noWrap w:val="0"/>
            <w:vAlign w:val="center"/>
          </w:tcPr>
          <w:p w14:paraId="1A85E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sz w:val="18"/>
                <w:szCs w:val="18"/>
                <w:highlight w:val="none"/>
              </w:rPr>
              <w:drawing>
                <wp:inline distT="0" distB="0" distL="114300" distR="114300">
                  <wp:extent cx="2150110" cy="835025"/>
                  <wp:effectExtent l="0" t="0" r="3175" b="1397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40"/>
                          <a:stretch>
                            <a:fillRect/>
                          </a:stretch>
                        </pic:blipFill>
                        <pic:spPr>
                          <a:xfrm rot="5400000">
                            <a:off x="0" y="0"/>
                            <a:ext cx="2150110" cy="835025"/>
                          </a:xfrm>
                          <a:prstGeom prst="rect">
                            <a:avLst/>
                          </a:prstGeom>
                          <a:noFill/>
                          <a:ln>
                            <a:noFill/>
                          </a:ln>
                        </pic:spPr>
                      </pic:pic>
                    </a:graphicData>
                  </a:graphic>
                </wp:inline>
              </w:drawing>
            </w:r>
          </w:p>
        </w:tc>
        <w:tc>
          <w:tcPr>
            <w:tcW w:w="1441" w:type="pct"/>
            <w:vMerge w:val="restart"/>
            <w:tcBorders>
              <w:tl2br w:val="nil"/>
              <w:tr2bl w:val="nil"/>
            </w:tcBorders>
            <w:noWrap w:val="0"/>
            <w:vAlign w:val="center"/>
          </w:tcPr>
          <w:p w14:paraId="5A3445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垂直剖面：可见明显双曲型反射波同相轴，反射信号能量强，空管通常发育竖条带状多次波，绕射波明显。</w:t>
            </w:r>
          </w:p>
          <w:p w14:paraId="389FF8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水平剖面：可见明显带状反射信号，形态与管线实体基本一致，多条测线通常有较好一致性。</w:t>
            </w:r>
          </w:p>
        </w:tc>
      </w:tr>
      <w:tr w14:paraId="5C23F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0" w:hRule="exact"/>
          <w:jc w:val="center"/>
        </w:trPr>
        <w:tc>
          <w:tcPr>
            <w:tcW w:w="838" w:type="pct"/>
            <w:vMerge w:val="continue"/>
            <w:tcBorders>
              <w:tl2br w:val="nil"/>
              <w:tr2bl w:val="nil"/>
            </w:tcBorders>
            <w:noWrap w:val="0"/>
            <w:vAlign w:val="center"/>
          </w:tcPr>
          <w:p w14:paraId="5156E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p>
        </w:tc>
        <w:tc>
          <w:tcPr>
            <w:tcW w:w="1532" w:type="pct"/>
            <w:tcBorders>
              <w:tl2br w:val="nil"/>
              <w:tr2bl w:val="nil"/>
            </w:tcBorders>
            <w:noWrap w:val="0"/>
            <w:vAlign w:val="center"/>
          </w:tcPr>
          <w:p w14:paraId="6E2C8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862455" cy="1189990"/>
                  <wp:effectExtent l="0" t="0" r="12065" b="13970"/>
                  <wp:docPr id="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9"/>
                          <pic:cNvPicPr>
                            <a:picLocks noChangeAspect="1"/>
                          </pic:cNvPicPr>
                        </pic:nvPicPr>
                        <pic:blipFill>
                          <a:blip r:embed="rId41"/>
                          <a:stretch>
                            <a:fillRect/>
                          </a:stretch>
                        </pic:blipFill>
                        <pic:spPr>
                          <a:xfrm>
                            <a:off x="0" y="0"/>
                            <a:ext cx="1862455" cy="1189990"/>
                          </a:xfrm>
                          <a:prstGeom prst="rect">
                            <a:avLst/>
                          </a:prstGeom>
                          <a:noFill/>
                          <a:ln>
                            <a:noFill/>
                          </a:ln>
                        </pic:spPr>
                      </pic:pic>
                    </a:graphicData>
                  </a:graphic>
                </wp:inline>
              </w:drawing>
            </w:r>
          </w:p>
        </w:tc>
        <w:tc>
          <w:tcPr>
            <w:tcW w:w="1187" w:type="pct"/>
            <w:tcBorders>
              <w:tl2br w:val="nil"/>
              <w:tr2bl w:val="nil"/>
            </w:tcBorders>
            <w:noWrap w:val="0"/>
            <w:vAlign w:val="center"/>
          </w:tcPr>
          <w:p w14:paraId="068F45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2190750" cy="821055"/>
                  <wp:effectExtent l="0" t="0" r="1905" b="3810"/>
                  <wp:docPr id="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pic:cNvPicPr>
                            <a:picLocks noChangeAspect="1"/>
                          </pic:cNvPicPr>
                        </pic:nvPicPr>
                        <pic:blipFill>
                          <a:blip r:embed="rId42"/>
                          <a:stretch>
                            <a:fillRect/>
                          </a:stretch>
                        </pic:blipFill>
                        <pic:spPr>
                          <a:xfrm rot="-5400000">
                            <a:off x="0" y="0"/>
                            <a:ext cx="2190750" cy="821055"/>
                          </a:xfrm>
                          <a:prstGeom prst="rect">
                            <a:avLst/>
                          </a:prstGeom>
                          <a:noFill/>
                          <a:ln>
                            <a:noFill/>
                          </a:ln>
                        </pic:spPr>
                      </pic:pic>
                    </a:graphicData>
                  </a:graphic>
                </wp:inline>
              </w:drawing>
            </w:r>
          </w:p>
        </w:tc>
        <w:tc>
          <w:tcPr>
            <w:tcW w:w="1441" w:type="pct"/>
            <w:vMerge w:val="continue"/>
            <w:tcBorders>
              <w:tl2br w:val="nil"/>
              <w:tr2bl w:val="nil"/>
            </w:tcBorders>
            <w:noWrap w:val="0"/>
            <w:vAlign w:val="center"/>
          </w:tcPr>
          <w:p w14:paraId="0B1B106D">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tc>
      </w:tr>
      <w:tr w14:paraId="0C6DD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1" w:hRule="exact"/>
          <w:jc w:val="center"/>
        </w:trPr>
        <w:tc>
          <w:tcPr>
            <w:tcW w:w="838" w:type="pct"/>
            <w:vMerge w:val="restart"/>
            <w:tcBorders>
              <w:tl2br w:val="nil"/>
              <w:tr2bl w:val="nil"/>
            </w:tcBorders>
            <w:noWrap w:val="0"/>
            <w:vAlign w:val="center"/>
          </w:tcPr>
          <w:p w14:paraId="0E482C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sz w:val="18"/>
                <w:szCs w:val="18"/>
                <w:highlight w:val="none"/>
                <w:lang w:val="en-US" w:eastAsia="zh-CN"/>
              </w:rPr>
              <w:t>检查井</w:t>
            </w:r>
          </w:p>
        </w:tc>
        <w:tc>
          <w:tcPr>
            <w:tcW w:w="1532" w:type="pct"/>
            <w:tcBorders>
              <w:tl2br w:val="nil"/>
              <w:tr2bl w:val="nil"/>
            </w:tcBorders>
            <w:noWrap w:val="0"/>
            <w:vAlign w:val="center"/>
          </w:tcPr>
          <w:p w14:paraId="3C1CB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888490" cy="1019810"/>
                  <wp:effectExtent l="0" t="0" r="1270" b="1270"/>
                  <wp:docPr id="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1"/>
                          <pic:cNvPicPr>
                            <a:picLocks noChangeAspect="1"/>
                          </pic:cNvPicPr>
                        </pic:nvPicPr>
                        <pic:blipFill>
                          <a:blip r:embed="rId43"/>
                          <a:stretch>
                            <a:fillRect/>
                          </a:stretch>
                        </pic:blipFill>
                        <pic:spPr>
                          <a:xfrm>
                            <a:off x="0" y="0"/>
                            <a:ext cx="1888490" cy="1019810"/>
                          </a:xfrm>
                          <a:prstGeom prst="rect">
                            <a:avLst/>
                          </a:prstGeom>
                          <a:noFill/>
                          <a:ln>
                            <a:noFill/>
                          </a:ln>
                        </pic:spPr>
                      </pic:pic>
                    </a:graphicData>
                  </a:graphic>
                </wp:inline>
              </w:drawing>
            </w:r>
          </w:p>
        </w:tc>
        <w:tc>
          <w:tcPr>
            <w:tcW w:w="1187" w:type="pct"/>
            <w:tcBorders>
              <w:tl2br w:val="nil"/>
              <w:tr2bl w:val="nil"/>
            </w:tcBorders>
            <w:noWrap w:val="0"/>
            <w:vAlign w:val="center"/>
          </w:tcPr>
          <w:p w14:paraId="34FB1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2446020" cy="1059180"/>
                  <wp:effectExtent l="0" t="0" r="7620" b="7620"/>
                  <wp:docPr id="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pic:cNvPicPr>
                            <a:picLocks noChangeAspect="1"/>
                          </pic:cNvPicPr>
                        </pic:nvPicPr>
                        <pic:blipFill>
                          <a:blip r:embed="rId44"/>
                          <a:stretch>
                            <a:fillRect/>
                          </a:stretch>
                        </pic:blipFill>
                        <pic:spPr>
                          <a:xfrm rot="5400000">
                            <a:off x="0" y="0"/>
                            <a:ext cx="2446020" cy="1059180"/>
                          </a:xfrm>
                          <a:prstGeom prst="rect">
                            <a:avLst/>
                          </a:prstGeom>
                          <a:noFill/>
                          <a:ln>
                            <a:noFill/>
                          </a:ln>
                        </pic:spPr>
                      </pic:pic>
                    </a:graphicData>
                  </a:graphic>
                </wp:inline>
              </w:drawing>
            </w:r>
          </w:p>
        </w:tc>
        <w:tc>
          <w:tcPr>
            <w:tcW w:w="1441" w:type="pct"/>
            <w:vMerge w:val="restart"/>
            <w:tcBorders>
              <w:tl2br w:val="nil"/>
              <w:tr2bl w:val="nil"/>
            </w:tcBorders>
            <w:noWrap w:val="0"/>
            <w:vAlign w:val="center"/>
          </w:tcPr>
          <w:p w14:paraId="46C521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垂直剖面：顶部可见明显反射波同相轴，原地层反射同相轴错断消失，反射信号能量强，两侧井壁位置绕射信号明显。</w:t>
            </w:r>
          </w:p>
          <w:p w14:paraId="74A58D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48086E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水平剖面：顶部可见明显强反射信号，图像形态与检查井盖实体基本一致。</w:t>
            </w:r>
          </w:p>
        </w:tc>
      </w:tr>
      <w:tr w14:paraId="4597D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6" w:hRule="exact"/>
          <w:jc w:val="center"/>
        </w:trPr>
        <w:tc>
          <w:tcPr>
            <w:tcW w:w="838" w:type="pct"/>
            <w:vMerge w:val="continue"/>
            <w:tcBorders>
              <w:tl2br w:val="nil"/>
              <w:tr2bl w:val="nil"/>
            </w:tcBorders>
            <w:noWrap w:val="0"/>
            <w:vAlign w:val="center"/>
          </w:tcPr>
          <w:p w14:paraId="4E3C92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p>
        </w:tc>
        <w:tc>
          <w:tcPr>
            <w:tcW w:w="1532" w:type="pct"/>
            <w:tcBorders>
              <w:tl2br w:val="nil"/>
              <w:tr2bl w:val="nil"/>
            </w:tcBorders>
            <w:noWrap w:val="0"/>
            <w:vAlign w:val="center"/>
          </w:tcPr>
          <w:p w14:paraId="62279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2035810" cy="1387475"/>
                  <wp:effectExtent l="0" t="0" r="6350" b="14605"/>
                  <wp:docPr id="1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
                          <pic:cNvPicPr>
                            <a:picLocks noChangeAspect="1"/>
                          </pic:cNvPicPr>
                        </pic:nvPicPr>
                        <pic:blipFill>
                          <a:blip r:embed="rId45"/>
                          <a:stretch>
                            <a:fillRect/>
                          </a:stretch>
                        </pic:blipFill>
                        <pic:spPr>
                          <a:xfrm>
                            <a:off x="0" y="0"/>
                            <a:ext cx="2035810" cy="1387475"/>
                          </a:xfrm>
                          <a:prstGeom prst="rect">
                            <a:avLst/>
                          </a:prstGeom>
                          <a:noFill/>
                          <a:ln>
                            <a:noFill/>
                          </a:ln>
                        </pic:spPr>
                      </pic:pic>
                    </a:graphicData>
                  </a:graphic>
                </wp:inline>
              </w:drawing>
            </w:r>
          </w:p>
        </w:tc>
        <w:tc>
          <w:tcPr>
            <w:tcW w:w="1187" w:type="pct"/>
            <w:tcBorders>
              <w:tl2br w:val="nil"/>
              <w:tr2bl w:val="nil"/>
            </w:tcBorders>
            <w:noWrap w:val="0"/>
            <w:vAlign w:val="center"/>
          </w:tcPr>
          <w:p w14:paraId="02818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2061845" cy="911225"/>
                  <wp:effectExtent l="0" t="0" r="3175" b="10795"/>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8"/>
                          <pic:cNvPicPr>
                            <a:picLocks noChangeAspect="1"/>
                          </pic:cNvPicPr>
                        </pic:nvPicPr>
                        <pic:blipFill>
                          <a:blip r:embed="rId46"/>
                          <a:stretch>
                            <a:fillRect/>
                          </a:stretch>
                        </pic:blipFill>
                        <pic:spPr>
                          <a:xfrm rot="5400000">
                            <a:off x="0" y="0"/>
                            <a:ext cx="2061845" cy="911225"/>
                          </a:xfrm>
                          <a:prstGeom prst="rect">
                            <a:avLst/>
                          </a:prstGeom>
                          <a:noFill/>
                          <a:ln>
                            <a:noFill/>
                          </a:ln>
                        </pic:spPr>
                      </pic:pic>
                    </a:graphicData>
                  </a:graphic>
                </wp:inline>
              </w:drawing>
            </w:r>
          </w:p>
        </w:tc>
        <w:tc>
          <w:tcPr>
            <w:tcW w:w="1441" w:type="pct"/>
            <w:vMerge w:val="continue"/>
            <w:tcBorders>
              <w:tl2br w:val="nil"/>
              <w:tr2bl w:val="nil"/>
            </w:tcBorders>
            <w:noWrap w:val="0"/>
            <w:vAlign w:val="center"/>
          </w:tcPr>
          <w:p w14:paraId="38189D3A">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tc>
      </w:tr>
      <w:tr w14:paraId="5570A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tcBorders>
              <w:tl2br w:val="nil"/>
              <w:tr2bl w:val="nil"/>
            </w:tcBorders>
            <w:noWrap w:val="0"/>
            <w:vAlign w:val="center"/>
          </w:tcPr>
          <w:p w14:paraId="1C0E9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空洞</w:t>
            </w:r>
          </w:p>
        </w:tc>
        <w:tc>
          <w:tcPr>
            <w:tcW w:w="1532" w:type="pct"/>
            <w:tcBorders>
              <w:tl2br w:val="nil"/>
              <w:tr2bl w:val="nil"/>
            </w:tcBorders>
            <w:noWrap w:val="0"/>
            <w:vAlign w:val="center"/>
          </w:tcPr>
          <w:p w14:paraId="16DB2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eastAsia="zh-CN"/>
              </w:rPr>
              <w:drawing>
                <wp:inline distT="0" distB="0" distL="114300" distR="114300">
                  <wp:extent cx="1465580" cy="1884680"/>
                  <wp:effectExtent l="0" t="0" r="12700" b="5080"/>
                  <wp:docPr id="36" name="图片 59" descr="（6）Raptor-45_空洞-黑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9" descr="（6）Raptor-45_空洞-黑白-1"/>
                          <pic:cNvPicPr>
                            <a:picLocks noChangeAspect="1"/>
                          </pic:cNvPicPr>
                        </pic:nvPicPr>
                        <pic:blipFill>
                          <a:blip r:embed="rId47"/>
                          <a:srcRect l="37634" t="53076" r="41438"/>
                          <a:stretch>
                            <a:fillRect/>
                          </a:stretch>
                        </pic:blipFill>
                        <pic:spPr>
                          <a:xfrm>
                            <a:off x="0" y="0"/>
                            <a:ext cx="1465580" cy="1884680"/>
                          </a:xfrm>
                          <a:prstGeom prst="rect">
                            <a:avLst/>
                          </a:prstGeom>
                          <a:noFill/>
                          <a:ln>
                            <a:noFill/>
                          </a:ln>
                        </pic:spPr>
                      </pic:pic>
                    </a:graphicData>
                  </a:graphic>
                </wp:inline>
              </w:drawing>
            </w:r>
          </w:p>
        </w:tc>
        <w:tc>
          <w:tcPr>
            <w:tcW w:w="1187" w:type="pct"/>
            <w:tcBorders>
              <w:tl2br w:val="nil"/>
              <w:tr2bl w:val="nil"/>
            </w:tcBorders>
            <w:noWrap w:val="0"/>
            <w:vAlign w:val="center"/>
          </w:tcPr>
          <w:p w14:paraId="5FFEB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drawing>
                <wp:inline distT="0" distB="0" distL="114300" distR="114300">
                  <wp:extent cx="1700530" cy="1201420"/>
                  <wp:effectExtent l="0" t="0" r="2540" b="6350"/>
                  <wp:docPr id="2" name="图片 60" descr="（6）Raptor-45_空洞-黑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0" descr="（6）Raptor-45_空洞-黑白-1"/>
                          <pic:cNvPicPr>
                            <a:picLocks noChangeAspect="1"/>
                          </pic:cNvPicPr>
                        </pic:nvPicPr>
                        <pic:blipFill>
                          <a:blip r:embed="rId47"/>
                          <a:srcRect l="24802" t="8444" r="51332" b="62183"/>
                          <a:stretch>
                            <a:fillRect/>
                          </a:stretch>
                        </pic:blipFill>
                        <pic:spPr>
                          <a:xfrm rot="5400000">
                            <a:off x="0" y="0"/>
                            <a:ext cx="1700530" cy="1201420"/>
                          </a:xfrm>
                          <a:prstGeom prst="rect">
                            <a:avLst/>
                          </a:prstGeom>
                          <a:noFill/>
                          <a:ln>
                            <a:noFill/>
                          </a:ln>
                        </pic:spPr>
                      </pic:pic>
                    </a:graphicData>
                  </a:graphic>
                </wp:inline>
              </w:drawing>
            </w:r>
          </w:p>
        </w:tc>
        <w:tc>
          <w:tcPr>
            <w:tcW w:w="1441" w:type="pct"/>
            <w:tcBorders>
              <w:tl2br w:val="nil"/>
              <w:tr2bl w:val="nil"/>
            </w:tcBorders>
            <w:noWrap w:val="0"/>
            <w:vAlign w:val="center"/>
          </w:tcPr>
          <w:p w14:paraId="59A716BD">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tc>
      </w:tr>
      <w:tr w14:paraId="417BD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vMerge w:val="restart"/>
            <w:tcBorders>
              <w:tl2br w:val="nil"/>
              <w:tr2bl w:val="nil"/>
            </w:tcBorders>
            <w:noWrap w:val="0"/>
            <w:vAlign w:val="center"/>
          </w:tcPr>
          <w:p w14:paraId="43778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空洞</w:t>
            </w:r>
          </w:p>
        </w:tc>
        <w:tc>
          <w:tcPr>
            <w:tcW w:w="1532" w:type="pct"/>
            <w:tcBorders>
              <w:tl2br w:val="nil"/>
              <w:tr2bl w:val="nil"/>
            </w:tcBorders>
            <w:noWrap w:val="0"/>
            <w:vAlign w:val="center"/>
          </w:tcPr>
          <w:p w14:paraId="25FB9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863090" cy="1592580"/>
                  <wp:effectExtent l="0" t="0" r="11430" b="7620"/>
                  <wp:docPr id="6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9"/>
                          <pic:cNvPicPr>
                            <a:picLocks noChangeAspect="1"/>
                          </pic:cNvPicPr>
                        </pic:nvPicPr>
                        <pic:blipFill>
                          <a:blip r:embed="rId48"/>
                          <a:stretch>
                            <a:fillRect/>
                          </a:stretch>
                        </pic:blipFill>
                        <pic:spPr>
                          <a:xfrm>
                            <a:off x="0" y="0"/>
                            <a:ext cx="1863090" cy="1592580"/>
                          </a:xfrm>
                          <a:prstGeom prst="rect">
                            <a:avLst/>
                          </a:prstGeom>
                          <a:noFill/>
                          <a:ln>
                            <a:noFill/>
                          </a:ln>
                        </pic:spPr>
                      </pic:pic>
                    </a:graphicData>
                  </a:graphic>
                </wp:inline>
              </w:drawing>
            </w:r>
          </w:p>
        </w:tc>
        <w:tc>
          <w:tcPr>
            <w:tcW w:w="1187" w:type="pct"/>
            <w:tcBorders>
              <w:tl2br w:val="nil"/>
              <w:tr2bl w:val="nil"/>
            </w:tcBorders>
            <w:noWrap w:val="0"/>
            <w:vAlign w:val="center"/>
          </w:tcPr>
          <w:p w14:paraId="23E03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636395" cy="789940"/>
                  <wp:effectExtent l="0" t="0" r="2540" b="9525"/>
                  <wp:docPr id="4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0"/>
                          <pic:cNvPicPr>
                            <a:picLocks noChangeAspect="1"/>
                          </pic:cNvPicPr>
                        </pic:nvPicPr>
                        <pic:blipFill>
                          <a:blip r:embed="rId49"/>
                          <a:stretch>
                            <a:fillRect/>
                          </a:stretch>
                        </pic:blipFill>
                        <pic:spPr>
                          <a:xfrm rot="-5400000">
                            <a:off x="0" y="0"/>
                            <a:ext cx="1636395" cy="789940"/>
                          </a:xfrm>
                          <a:prstGeom prst="rect">
                            <a:avLst/>
                          </a:prstGeom>
                          <a:noFill/>
                          <a:ln>
                            <a:noFill/>
                          </a:ln>
                        </pic:spPr>
                      </pic:pic>
                    </a:graphicData>
                  </a:graphic>
                </wp:inline>
              </w:drawing>
            </w:r>
          </w:p>
        </w:tc>
        <w:tc>
          <w:tcPr>
            <w:tcW w:w="1441" w:type="pct"/>
            <w:vMerge w:val="restart"/>
            <w:tcBorders>
              <w:tl2br w:val="nil"/>
              <w:tr2bl w:val="nil"/>
            </w:tcBorders>
            <w:noWrap w:val="0"/>
            <w:vAlign w:val="center"/>
          </w:tcPr>
          <w:p w14:paraId="1106C7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垂直剖面：顶部可见明显反射波同相轴，三振相明显，空洞尺寸较小时反射波同相轴呈双曲线型。反射信号能量强。</w:t>
            </w:r>
          </w:p>
          <w:p w14:paraId="79E8A5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5F8E8E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sz w:val="18"/>
                <w:szCs w:val="18"/>
                <w:highlight w:val="none"/>
                <w:lang w:val="en-US" w:eastAsia="zh-CN"/>
              </w:rPr>
              <w:t>水平剖面：可见明显圈闭强反射信号，图像形态与空洞实体基本一致。</w:t>
            </w:r>
          </w:p>
        </w:tc>
      </w:tr>
      <w:tr w14:paraId="7F997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vMerge w:val="continue"/>
            <w:tcBorders>
              <w:tl2br w:val="nil"/>
              <w:tr2bl w:val="nil"/>
            </w:tcBorders>
            <w:noWrap w:val="0"/>
            <w:vAlign w:val="center"/>
          </w:tcPr>
          <w:p w14:paraId="7FF4F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p>
        </w:tc>
        <w:tc>
          <w:tcPr>
            <w:tcW w:w="1532" w:type="pct"/>
            <w:tcBorders>
              <w:tl2br w:val="nil"/>
              <w:tr2bl w:val="nil"/>
            </w:tcBorders>
            <w:noWrap w:val="0"/>
            <w:vAlign w:val="center"/>
          </w:tcPr>
          <w:p w14:paraId="74C5EA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861820" cy="1435100"/>
                  <wp:effectExtent l="0" t="0" r="12700" b="12700"/>
                  <wp:docPr id="5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9"/>
                          <pic:cNvPicPr>
                            <a:picLocks noChangeAspect="1"/>
                          </pic:cNvPicPr>
                        </pic:nvPicPr>
                        <pic:blipFill>
                          <a:blip r:embed="rId50"/>
                          <a:stretch>
                            <a:fillRect/>
                          </a:stretch>
                        </pic:blipFill>
                        <pic:spPr>
                          <a:xfrm>
                            <a:off x="0" y="0"/>
                            <a:ext cx="1861820" cy="1435100"/>
                          </a:xfrm>
                          <a:prstGeom prst="rect">
                            <a:avLst/>
                          </a:prstGeom>
                          <a:noFill/>
                          <a:ln>
                            <a:noFill/>
                          </a:ln>
                        </pic:spPr>
                      </pic:pic>
                    </a:graphicData>
                  </a:graphic>
                </wp:inline>
              </w:drawing>
            </w:r>
          </w:p>
        </w:tc>
        <w:tc>
          <w:tcPr>
            <w:tcW w:w="1187" w:type="pct"/>
            <w:tcBorders>
              <w:tl2br w:val="nil"/>
              <w:tr2bl w:val="nil"/>
            </w:tcBorders>
            <w:noWrap w:val="0"/>
            <w:vAlign w:val="center"/>
          </w:tcPr>
          <w:p w14:paraId="2F6B0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739900" cy="798830"/>
                  <wp:effectExtent l="0" t="0" r="8890" b="12700"/>
                  <wp:docPr id="3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0"/>
                          <pic:cNvPicPr>
                            <a:picLocks noChangeAspect="1"/>
                          </pic:cNvPicPr>
                        </pic:nvPicPr>
                        <pic:blipFill>
                          <a:blip r:embed="rId51"/>
                          <a:stretch>
                            <a:fillRect/>
                          </a:stretch>
                        </pic:blipFill>
                        <pic:spPr>
                          <a:xfrm rot="5400000">
                            <a:off x="0" y="0"/>
                            <a:ext cx="1739900" cy="798830"/>
                          </a:xfrm>
                          <a:prstGeom prst="rect">
                            <a:avLst/>
                          </a:prstGeom>
                          <a:noFill/>
                          <a:ln>
                            <a:noFill/>
                          </a:ln>
                        </pic:spPr>
                      </pic:pic>
                    </a:graphicData>
                  </a:graphic>
                </wp:inline>
              </w:drawing>
            </w:r>
          </w:p>
        </w:tc>
        <w:tc>
          <w:tcPr>
            <w:tcW w:w="1441" w:type="pct"/>
            <w:vMerge w:val="continue"/>
            <w:tcBorders>
              <w:tl2br w:val="nil"/>
              <w:tr2bl w:val="nil"/>
            </w:tcBorders>
            <w:noWrap w:val="0"/>
            <w:vAlign w:val="center"/>
          </w:tcPr>
          <w:p w14:paraId="783A1D52">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p>
        </w:tc>
      </w:tr>
      <w:tr w14:paraId="73F8C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tcBorders>
              <w:tl2br w:val="nil"/>
              <w:tr2bl w:val="nil"/>
            </w:tcBorders>
            <w:noWrap w:val="0"/>
            <w:vAlign w:val="center"/>
          </w:tcPr>
          <w:p w14:paraId="6CAB5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疏松</w:t>
            </w:r>
          </w:p>
        </w:tc>
        <w:tc>
          <w:tcPr>
            <w:tcW w:w="1532" w:type="pct"/>
            <w:tcBorders>
              <w:tl2br w:val="nil"/>
              <w:tr2bl w:val="nil"/>
            </w:tcBorders>
            <w:noWrap w:val="0"/>
            <w:vAlign w:val="center"/>
          </w:tcPr>
          <w:p w14:paraId="33E5BB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drawing>
                <wp:inline distT="0" distB="0" distL="114300" distR="114300">
                  <wp:extent cx="1842770" cy="1697990"/>
                  <wp:effectExtent l="0" t="0" r="1270" b="0"/>
                  <wp:docPr id="53" name="图片 81" descr="（02）Raptor-45_疏松-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1" descr="（02）Raptor-45_疏松-黑白"/>
                          <pic:cNvPicPr>
                            <a:picLocks noChangeAspect="1"/>
                          </pic:cNvPicPr>
                        </pic:nvPicPr>
                        <pic:blipFill>
                          <a:blip r:embed="rId52"/>
                          <a:srcRect l="7109" t="59599" r="56937" b="-3841"/>
                          <a:stretch>
                            <a:fillRect/>
                          </a:stretch>
                        </pic:blipFill>
                        <pic:spPr>
                          <a:xfrm>
                            <a:off x="0" y="0"/>
                            <a:ext cx="1842770" cy="1697990"/>
                          </a:xfrm>
                          <a:prstGeom prst="rect">
                            <a:avLst/>
                          </a:prstGeom>
                          <a:noFill/>
                          <a:ln>
                            <a:noFill/>
                          </a:ln>
                        </pic:spPr>
                      </pic:pic>
                    </a:graphicData>
                  </a:graphic>
                </wp:inline>
              </w:drawing>
            </w:r>
          </w:p>
        </w:tc>
        <w:tc>
          <w:tcPr>
            <w:tcW w:w="1187" w:type="pct"/>
            <w:tcBorders>
              <w:tl2br w:val="nil"/>
              <w:tr2bl w:val="nil"/>
            </w:tcBorders>
            <w:noWrap w:val="0"/>
            <w:vAlign w:val="center"/>
          </w:tcPr>
          <w:p w14:paraId="15908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drawing>
                <wp:inline distT="0" distB="0" distL="114300" distR="114300">
                  <wp:extent cx="1805305" cy="1225550"/>
                  <wp:effectExtent l="0" t="0" r="8890" b="8255"/>
                  <wp:docPr id="40" name="图片 82" descr="（02）Raptor-45_疏松-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2" descr="（02）Raptor-45_疏松-黑白"/>
                          <pic:cNvPicPr>
                            <a:picLocks noChangeAspect="1"/>
                          </pic:cNvPicPr>
                        </pic:nvPicPr>
                        <pic:blipFill>
                          <a:blip r:embed="rId52"/>
                          <a:srcRect l="27301" t="5954" r="39801" b="57874"/>
                          <a:stretch>
                            <a:fillRect/>
                          </a:stretch>
                        </pic:blipFill>
                        <pic:spPr>
                          <a:xfrm rot="5400000">
                            <a:off x="0" y="0"/>
                            <a:ext cx="1805305" cy="1225550"/>
                          </a:xfrm>
                          <a:prstGeom prst="rect">
                            <a:avLst/>
                          </a:prstGeom>
                          <a:noFill/>
                          <a:ln>
                            <a:noFill/>
                          </a:ln>
                        </pic:spPr>
                      </pic:pic>
                    </a:graphicData>
                  </a:graphic>
                </wp:inline>
              </w:drawing>
            </w:r>
          </w:p>
        </w:tc>
        <w:tc>
          <w:tcPr>
            <w:tcW w:w="1441" w:type="pct"/>
            <w:tcBorders>
              <w:tl2br w:val="nil"/>
              <w:tr2bl w:val="nil"/>
            </w:tcBorders>
            <w:noWrap w:val="0"/>
            <w:vAlign w:val="center"/>
          </w:tcPr>
          <w:p w14:paraId="092D78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垂直剖面：可见反射波能量增强，同相轴短小且杂乱或无明显同相轴可循。</w:t>
            </w:r>
          </w:p>
          <w:p w14:paraId="309AA7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6D52DA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 w:val="0"/>
                <w:bCs/>
                <w:color w:val="auto"/>
                <w:sz w:val="18"/>
                <w:szCs w:val="18"/>
                <w:highlight w:val="none"/>
                <w:lang w:val="en-US" w:eastAsia="zh-CN"/>
              </w:rPr>
              <w:t>水平剖面：类雪花状影像。</w:t>
            </w:r>
          </w:p>
        </w:tc>
      </w:tr>
      <w:tr w14:paraId="538B9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tcBorders>
              <w:tl2br w:val="nil"/>
              <w:tr2bl w:val="nil"/>
            </w:tcBorders>
            <w:noWrap w:val="0"/>
            <w:vAlign w:val="center"/>
          </w:tcPr>
          <w:p w14:paraId="35A9E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富水</w:t>
            </w:r>
          </w:p>
        </w:tc>
        <w:tc>
          <w:tcPr>
            <w:tcW w:w="1532" w:type="pct"/>
            <w:tcBorders>
              <w:tl2br w:val="nil"/>
              <w:tr2bl w:val="nil"/>
            </w:tcBorders>
            <w:noWrap w:val="0"/>
            <w:vAlign w:val="center"/>
          </w:tcPr>
          <w:p w14:paraId="5C5B3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863090" cy="692785"/>
                  <wp:effectExtent l="0" t="0" r="11430" b="8255"/>
                  <wp:docPr id="5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3"/>
                          <pic:cNvPicPr>
                            <a:picLocks noChangeAspect="1"/>
                          </pic:cNvPicPr>
                        </pic:nvPicPr>
                        <pic:blipFill>
                          <a:blip r:embed="rId53"/>
                          <a:stretch>
                            <a:fillRect/>
                          </a:stretch>
                        </pic:blipFill>
                        <pic:spPr>
                          <a:xfrm>
                            <a:off x="0" y="0"/>
                            <a:ext cx="1863090" cy="692785"/>
                          </a:xfrm>
                          <a:prstGeom prst="rect">
                            <a:avLst/>
                          </a:prstGeom>
                          <a:noFill/>
                          <a:ln>
                            <a:noFill/>
                          </a:ln>
                        </pic:spPr>
                      </pic:pic>
                    </a:graphicData>
                  </a:graphic>
                </wp:inline>
              </w:drawing>
            </w:r>
          </w:p>
        </w:tc>
        <w:tc>
          <w:tcPr>
            <w:tcW w:w="1187" w:type="pct"/>
            <w:tcBorders>
              <w:tl2br w:val="nil"/>
              <w:tr2bl w:val="nil"/>
            </w:tcBorders>
            <w:noWrap w:val="0"/>
            <w:vAlign w:val="center"/>
          </w:tcPr>
          <w:p w14:paraId="24A34C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797050" cy="720090"/>
                  <wp:effectExtent l="0" t="0" r="11430" b="1270"/>
                  <wp:docPr id="5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4"/>
                          <pic:cNvPicPr>
                            <a:picLocks noChangeAspect="1"/>
                          </pic:cNvPicPr>
                        </pic:nvPicPr>
                        <pic:blipFill>
                          <a:blip r:embed="rId54"/>
                          <a:stretch>
                            <a:fillRect/>
                          </a:stretch>
                        </pic:blipFill>
                        <pic:spPr>
                          <a:xfrm rot="-5400000">
                            <a:off x="0" y="0"/>
                            <a:ext cx="1797050" cy="720090"/>
                          </a:xfrm>
                          <a:prstGeom prst="rect">
                            <a:avLst/>
                          </a:prstGeom>
                          <a:noFill/>
                          <a:ln>
                            <a:noFill/>
                          </a:ln>
                        </pic:spPr>
                      </pic:pic>
                    </a:graphicData>
                  </a:graphic>
                </wp:inline>
              </w:drawing>
            </w:r>
          </w:p>
        </w:tc>
        <w:tc>
          <w:tcPr>
            <w:tcW w:w="1441" w:type="pct"/>
            <w:tcBorders>
              <w:tl2br w:val="nil"/>
              <w:tr2bl w:val="nil"/>
            </w:tcBorders>
            <w:noWrap w:val="0"/>
            <w:vAlign w:val="center"/>
          </w:tcPr>
          <w:p w14:paraId="1AB190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垂直剖面：可见反射波能量增强，频率成分以中低频为主，下部信号衰减强烈。</w:t>
            </w:r>
          </w:p>
          <w:p w14:paraId="404572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7EF0D5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水平剖面：富水区浅部不同深度层间变化较缓，下部图像因缺失反射信号多为雪花状。</w:t>
            </w:r>
          </w:p>
        </w:tc>
      </w:tr>
      <w:tr w14:paraId="7A7DD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tcBorders>
              <w:tl2br w:val="nil"/>
              <w:tr2bl w:val="nil"/>
            </w:tcBorders>
            <w:noWrap w:val="0"/>
            <w:vAlign w:val="center"/>
          </w:tcPr>
          <w:p w14:paraId="735371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传力杆与拉杆</w:t>
            </w:r>
          </w:p>
        </w:tc>
        <w:tc>
          <w:tcPr>
            <w:tcW w:w="1532" w:type="pct"/>
            <w:tcBorders>
              <w:tl2br w:val="nil"/>
              <w:tr2bl w:val="nil"/>
            </w:tcBorders>
            <w:noWrap w:val="0"/>
            <w:vAlign w:val="center"/>
          </w:tcPr>
          <w:p w14:paraId="609E6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863725" cy="1109345"/>
                  <wp:effectExtent l="0" t="0" r="10795" b="3175"/>
                  <wp:docPr id="6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5"/>
                          <pic:cNvPicPr>
                            <a:picLocks noChangeAspect="1"/>
                          </pic:cNvPicPr>
                        </pic:nvPicPr>
                        <pic:blipFill>
                          <a:blip r:embed="rId55"/>
                          <a:stretch>
                            <a:fillRect/>
                          </a:stretch>
                        </pic:blipFill>
                        <pic:spPr>
                          <a:xfrm>
                            <a:off x="0" y="0"/>
                            <a:ext cx="1863725" cy="1109345"/>
                          </a:xfrm>
                          <a:prstGeom prst="rect">
                            <a:avLst/>
                          </a:prstGeom>
                          <a:noFill/>
                          <a:ln>
                            <a:noFill/>
                          </a:ln>
                        </pic:spPr>
                      </pic:pic>
                    </a:graphicData>
                  </a:graphic>
                </wp:inline>
              </w:drawing>
            </w:r>
          </w:p>
        </w:tc>
        <w:tc>
          <w:tcPr>
            <w:tcW w:w="1187" w:type="pct"/>
            <w:tcBorders>
              <w:tl2br w:val="nil"/>
              <w:tr2bl w:val="nil"/>
            </w:tcBorders>
            <w:noWrap w:val="0"/>
            <w:vAlign w:val="center"/>
          </w:tcPr>
          <w:p w14:paraId="3AD33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746885" cy="982980"/>
                  <wp:effectExtent l="0" t="0" r="7620" b="5715"/>
                  <wp:docPr id="6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6"/>
                          <pic:cNvPicPr>
                            <a:picLocks noChangeAspect="1"/>
                          </pic:cNvPicPr>
                        </pic:nvPicPr>
                        <pic:blipFill>
                          <a:blip r:embed="rId56"/>
                          <a:stretch>
                            <a:fillRect/>
                          </a:stretch>
                        </pic:blipFill>
                        <pic:spPr>
                          <a:xfrm rot="-5400000">
                            <a:off x="0" y="0"/>
                            <a:ext cx="1746885" cy="982980"/>
                          </a:xfrm>
                          <a:prstGeom prst="rect">
                            <a:avLst/>
                          </a:prstGeom>
                          <a:noFill/>
                          <a:ln>
                            <a:noFill/>
                          </a:ln>
                        </pic:spPr>
                      </pic:pic>
                    </a:graphicData>
                  </a:graphic>
                </wp:inline>
              </w:drawing>
            </w:r>
          </w:p>
        </w:tc>
        <w:tc>
          <w:tcPr>
            <w:tcW w:w="1441" w:type="pct"/>
            <w:vMerge w:val="restart"/>
            <w:tcBorders>
              <w:tl2br w:val="nil"/>
              <w:tr2bl w:val="nil"/>
            </w:tcBorders>
            <w:noWrap w:val="0"/>
            <w:vAlign w:val="center"/>
          </w:tcPr>
          <w:p w14:paraId="2AF772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垂直剖面：可见明显月牙状双曲型反射波同相轴，偏移归位后呈点状强反射，反射波能量强，频率成分以高频为主，反射信号间距排布通常呈一定规律性。</w:t>
            </w:r>
          </w:p>
          <w:p w14:paraId="3E672D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350D7437">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水平剖面：线状强反射，形态与钢筋实体基本一致。</w:t>
            </w:r>
          </w:p>
        </w:tc>
      </w:tr>
      <w:tr w14:paraId="5D25A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3" w:hRule="exact"/>
          <w:jc w:val="center"/>
        </w:trPr>
        <w:tc>
          <w:tcPr>
            <w:tcW w:w="838" w:type="pct"/>
            <w:tcBorders>
              <w:tl2br w:val="nil"/>
              <w:tr2bl w:val="nil"/>
            </w:tcBorders>
            <w:noWrap w:val="0"/>
            <w:vAlign w:val="center"/>
          </w:tcPr>
          <w:p w14:paraId="346F51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角隅钢筋</w:t>
            </w:r>
          </w:p>
        </w:tc>
        <w:tc>
          <w:tcPr>
            <w:tcW w:w="1532" w:type="pct"/>
            <w:tcBorders>
              <w:tl2br w:val="nil"/>
              <w:tr2bl w:val="nil"/>
            </w:tcBorders>
            <w:noWrap w:val="0"/>
            <w:vAlign w:val="center"/>
          </w:tcPr>
          <w:p w14:paraId="09499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861820" cy="1153160"/>
                  <wp:effectExtent l="0" t="0" r="12700" b="5080"/>
                  <wp:docPr id="5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7"/>
                          <pic:cNvPicPr>
                            <a:picLocks noChangeAspect="1"/>
                          </pic:cNvPicPr>
                        </pic:nvPicPr>
                        <pic:blipFill>
                          <a:blip r:embed="rId57"/>
                          <a:stretch>
                            <a:fillRect/>
                          </a:stretch>
                        </pic:blipFill>
                        <pic:spPr>
                          <a:xfrm>
                            <a:off x="0" y="0"/>
                            <a:ext cx="1861820" cy="1153160"/>
                          </a:xfrm>
                          <a:prstGeom prst="rect">
                            <a:avLst/>
                          </a:prstGeom>
                          <a:noFill/>
                          <a:ln>
                            <a:noFill/>
                          </a:ln>
                        </pic:spPr>
                      </pic:pic>
                    </a:graphicData>
                  </a:graphic>
                </wp:inline>
              </w:drawing>
            </w:r>
          </w:p>
        </w:tc>
        <w:tc>
          <w:tcPr>
            <w:tcW w:w="1187" w:type="pct"/>
            <w:tcBorders>
              <w:tl2br w:val="nil"/>
              <w:tr2bl w:val="nil"/>
            </w:tcBorders>
            <w:noWrap w:val="0"/>
            <w:vAlign w:val="center"/>
          </w:tcPr>
          <w:p w14:paraId="43360E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750060" cy="953770"/>
                  <wp:effectExtent l="0" t="0" r="6350" b="2540"/>
                  <wp:docPr id="5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8"/>
                          <pic:cNvPicPr>
                            <a:picLocks noChangeAspect="1"/>
                          </pic:cNvPicPr>
                        </pic:nvPicPr>
                        <pic:blipFill>
                          <a:blip r:embed="rId58"/>
                          <a:stretch>
                            <a:fillRect/>
                          </a:stretch>
                        </pic:blipFill>
                        <pic:spPr>
                          <a:xfrm rot="-5400000">
                            <a:off x="0" y="0"/>
                            <a:ext cx="1750060" cy="953770"/>
                          </a:xfrm>
                          <a:prstGeom prst="rect">
                            <a:avLst/>
                          </a:prstGeom>
                          <a:noFill/>
                          <a:ln>
                            <a:noFill/>
                          </a:ln>
                        </pic:spPr>
                      </pic:pic>
                    </a:graphicData>
                  </a:graphic>
                </wp:inline>
              </w:drawing>
            </w:r>
          </w:p>
        </w:tc>
        <w:tc>
          <w:tcPr>
            <w:tcW w:w="1441" w:type="pct"/>
            <w:vMerge w:val="continue"/>
            <w:tcBorders>
              <w:tl2br w:val="nil"/>
              <w:tr2bl w:val="nil"/>
            </w:tcBorders>
            <w:noWrap w:val="0"/>
            <w:vAlign w:val="center"/>
          </w:tcPr>
          <w:p w14:paraId="35ADF18A">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tc>
      </w:tr>
    </w:tbl>
    <w:p w14:paraId="0F5F7D6B">
      <w:pPr>
        <w:rPr>
          <w:rFonts w:hint="eastAsia" w:ascii="宋体" w:hAnsi="宋体" w:eastAsia="宋体" w:cs="宋体"/>
          <w:color w:val="auto"/>
          <w:sz w:val="21"/>
          <w:szCs w:val="21"/>
          <w:highlight w:val="none"/>
        </w:rPr>
      </w:pPr>
    </w:p>
    <w:p w14:paraId="22FD1AFD">
      <w:pPr>
        <w:rPr>
          <w:rFonts w:hint="eastAsia" w:ascii="宋体" w:hAnsi="宋体" w:eastAsia="宋体" w:cs="宋体"/>
          <w:color w:val="auto"/>
          <w:sz w:val="21"/>
          <w:szCs w:val="21"/>
          <w:highlight w:val="none"/>
        </w:rPr>
      </w:pPr>
    </w:p>
    <w:p w14:paraId="2073A267">
      <w:pPr>
        <w:widowControl/>
        <w:jc w:val="center"/>
        <w:rPr>
          <w:rFonts w:hint="eastAsia" w:ascii="Times New Roman" w:hAnsi="Times New Roman"/>
          <w:sz w:val="24"/>
          <w:highlight w:val="yellow"/>
        </w:rPr>
      </w:pPr>
      <w:r>
        <w:rPr>
          <w:sz w:val="21"/>
          <w:highlight w:val="yellow"/>
        </w:rPr>
        <mc:AlternateContent>
          <mc:Choice Requires="wps">
            <w:drawing>
              <wp:anchor distT="0" distB="0" distL="114300" distR="114300" simplePos="0" relativeHeight="251660288" behindDoc="0" locked="0" layoutInCell="1" allowOverlap="1">
                <wp:simplePos x="0" y="0"/>
                <wp:positionH relativeFrom="column">
                  <wp:posOffset>1848485</wp:posOffset>
                </wp:positionH>
                <wp:positionV relativeFrom="paragraph">
                  <wp:posOffset>111125</wp:posOffset>
                </wp:positionV>
                <wp:extent cx="2244725" cy="0"/>
                <wp:effectExtent l="0" t="6350" r="0" b="6350"/>
                <wp:wrapNone/>
                <wp:docPr id="59" name="直接连接符 59"/>
                <wp:cNvGraphicFramePr/>
                <a:graphic xmlns:a="http://schemas.openxmlformats.org/drawingml/2006/main">
                  <a:graphicData uri="http://schemas.microsoft.com/office/word/2010/wordprocessingShape">
                    <wps:wsp>
                      <wps:cNvCnPr/>
                      <wps:spPr>
                        <a:xfrm>
                          <a:off x="2552065" y="9175115"/>
                          <a:ext cx="2244725" cy="0"/>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margin-left:145.55pt;margin-top:8.75pt;height:0pt;width:176.75pt;z-index:251660288;mso-width-relative:page;mso-height-relative:page;" filled="f" stroked="t" coordsize="21600,21600" o:gfxdata="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j65F2AAAAAkBAAAPAAAAAAAAAAEAIAAAACIAAABkcnMvZG93bnJldi54bWxQSwECFAAUAAAA&#10;CACHTuJAQ1S5Pe4BAAC3AwAADgAAAAAAAAABACAAAAAnAQAAZHJzL2Uyb0RvYy54bWxQSwUGAAAA&#10;AAYABgBZAQAAhwUAAAAA&#10;">
                <v:fill on="f" focussize="0,0"/>
                <v:stroke weight="1pt" color="#000000" joinstyle="round"/>
                <v:imagedata o:title=""/>
                <o:lock v:ext="edit" aspectratio="f"/>
              </v:line>
            </w:pict>
          </mc:Fallback>
        </mc:AlternateContent>
      </w:r>
    </w:p>
    <w:p w14:paraId="10A40AB3">
      <w:pPr>
        <w:bidi w:val="0"/>
        <w:rPr>
          <w:rFonts w:hint="eastAsia"/>
          <w:lang w:eastAsia="zh-CN"/>
        </w:rPr>
        <w:sectPr>
          <w:pgSz w:w="11906" w:h="16838"/>
          <w:pgMar w:top="1417" w:right="1134" w:bottom="1134" w:left="1417" w:header="283" w:footer="1134" w:gutter="0"/>
          <w:pgBorders>
            <w:top w:val="none" w:sz="0" w:space="0"/>
            <w:left w:val="none" w:sz="0" w:space="0"/>
            <w:bottom w:val="none" w:sz="0" w:space="0"/>
            <w:right w:val="none" w:sz="0" w:space="0"/>
          </w:pgBorders>
          <w:pgNumType w:fmt="decimal"/>
          <w:cols w:space="425" w:num="1"/>
          <w:docGrid w:type="lines" w:linePitch="312" w:charSpace="0"/>
        </w:sectPr>
      </w:pPr>
    </w:p>
    <w:p w14:paraId="00B6149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6943090</wp:posOffset>
                </wp:positionH>
                <wp:positionV relativeFrom="paragraph">
                  <wp:posOffset>-851535</wp:posOffset>
                </wp:positionV>
                <wp:extent cx="485775" cy="1959610"/>
                <wp:effectExtent l="0" t="0" r="9525" b="2540"/>
                <wp:wrapNone/>
                <wp:docPr id="5" name="文本框 5"/>
                <wp:cNvGraphicFramePr/>
                <a:graphic xmlns:a="http://schemas.openxmlformats.org/drawingml/2006/main">
                  <a:graphicData uri="http://schemas.microsoft.com/office/word/2010/wordprocessingShape">
                    <wps:wsp>
                      <wps:cNvSpPr txBox="1"/>
                      <wps:spPr>
                        <a:xfrm rot="10800000">
                          <a:off x="4323715" y="925195"/>
                          <a:ext cx="485775" cy="19596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F94E1E">
                            <w:pPr>
                              <w:ind w:left="0" w:leftChars="0" w:firstLine="0" w:firstLineChars="0"/>
                              <w:rPr>
                                <w:rFonts w:hint="default" w:ascii="黑体" w:hAnsi="黑体" w:eastAsia="黑体" w:cs="黑体"/>
                                <w:color w:val="auto"/>
                                <w:sz w:val="28"/>
                                <w:szCs w:val="36"/>
                                <w:lang w:val="en-US" w:eastAsia="zh-CN"/>
                              </w:rPr>
                            </w:pPr>
                            <w:r>
                              <w:rPr>
                                <w:rFonts w:hint="eastAsia" w:ascii="黑体" w:hAnsi="黑体" w:eastAsia="黑体" w:cs="黑体"/>
                                <w:color w:val="auto"/>
                                <w:sz w:val="28"/>
                                <w:szCs w:val="36"/>
                                <w:lang w:val="en-US" w:eastAsia="zh-CN"/>
                              </w:rPr>
                              <w:t>QB/T  XXXX-XXXX</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7pt;margin-top:-67.05pt;height:154.3pt;width:38.25pt;rotation:11796480f;z-index:251659264;mso-width-relative:page;mso-height-relative:page;" fillcolor="#FFFFFF [3201]" filled="t" stroked="f" coordsize="21600,21600" o:gfxdata="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SzMM3dAAAADgEAAA8AAAAAAAAAAQAgAAAAIgAAAGRycy9kb3ducmV2Lnht&#10;bFBLAQIUABQAAAAIAIdO4kCAcn8kZgIAAKsEAAAOAAAAAAAAAAEAIAAAACwBAABkcnMvZTJvRG9j&#10;LnhtbFBLBQYAAAAABgAGAFkBAAAEBgAAAAA=&#10;">
                <v:fill on="t" focussize="0,0"/>
                <v:stroke on="f" weight="0.5pt"/>
                <v:imagedata o:title=""/>
                <o:lock v:ext="edit" aspectratio="f"/>
                <v:textbox style="layout-flow:vertical-ideographic;">
                  <w:txbxContent>
                    <w:p w14:paraId="4DF94E1E">
                      <w:pPr>
                        <w:ind w:left="0" w:leftChars="0" w:firstLine="0" w:firstLineChars="0"/>
                        <w:rPr>
                          <w:rFonts w:hint="default" w:ascii="黑体" w:hAnsi="黑体" w:eastAsia="黑体" w:cs="黑体"/>
                          <w:color w:val="auto"/>
                          <w:sz w:val="28"/>
                          <w:szCs w:val="36"/>
                          <w:lang w:val="en-US" w:eastAsia="zh-CN"/>
                        </w:rPr>
                      </w:pPr>
                      <w:r>
                        <w:rPr>
                          <w:rFonts w:hint="eastAsia" w:ascii="黑体" w:hAnsi="黑体" w:eastAsia="黑体" w:cs="黑体"/>
                          <w:color w:val="auto"/>
                          <w:sz w:val="28"/>
                          <w:szCs w:val="36"/>
                          <w:lang w:val="en-US" w:eastAsia="zh-CN"/>
                        </w:rPr>
                        <w:t>QB/T  XXXX-XXXX</w:t>
                      </w:r>
                    </w:p>
                  </w:txbxContent>
                </v:textbox>
              </v:shape>
            </w:pict>
          </mc:Fallback>
        </mc:AlternateContent>
      </w:r>
    </w:p>
    <w:sectPr>
      <w:headerReference r:id="rId31" w:type="default"/>
      <w:footerReference r:id="rId33" w:type="default"/>
      <w:headerReference r:id="rId32" w:type="even"/>
      <w:footerReference r:id="rId34" w:type="even"/>
      <w:pgSz w:w="11906" w:h="16838"/>
      <w:pgMar w:top="1417" w:right="0" w:bottom="283" w:left="0" w:header="1417"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FRCCQR+FZSSK--GBK1-0">
    <w:altName w:val="微软雅黑"/>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44CBC">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CDA1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E8CDA1E"/>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F3EBC">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18936">
                          <w:pPr>
                            <w:pStyle w:val="1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EC18936">
                    <w:pPr>
                      <w:pStyle w:val="10"/>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5B8BB">
    <w:pPr>
      <w:pStyle w:val="10"/>
      <w:keepNext w:val="0"/>
      <w:keepLines w:val="0"/>
      <w:pageBreakBefore w:val="0"/>
      <w:widowControl w:val="0"/>
      <w:kinsoku/>
      <w:wordWrap/>
      <w:overflowPunct/>
      <w:topLinePunct w:val="0"/>
      <w:bidi w:val="0"/>
      <w:adjustRightInd/>
      <w:snapToGrid w:val="0"/>
      <w:spacing w:line="240" w:lineRule="auto"/>
      <w:ind w:firstLine="0" w:firstLineChars="0"/>
      <w:textAlignment w:val="auto"/>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E0C21">
                          <w:pPr>
                            <w:pStyle w:val="10"/>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7B0E0C21">
                    <w:pPr>
                      <w:pStyle w:val="10"/>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39E7">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33095">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2833095">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1BAD5">
    <w:pPr>
      <w:pStyle w:val="10"/>
      <w:keepNext w:val="0"/>
      <w:keepLines w:val="0"/>
      <w:pageBreakBefore w:val="0"/>
      <w:widowControl w:val="0"/>
      <w:kinsoku/>
      <w:wordWrap/>
      <w:overflowPunct/>
      <w:topLinePunct w:val="0"/>
      <w:bidi w:val="0"/>
      <w:adjustRightInd/>
      <w:snapToGrid w:val="0"/>
      <w:spacing w:line="240" w:lineRule="auto"/>
      <w:ind w:firstLine="0" w:firstLineChars="0"/>
      <w:textAlignment w:val="auto"/>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5CE37">
                          <w:pPr>
                            <w:pStyle w:val="10"/>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1A5CE37">
                    <w:pPr>
                      <w:pStyle w:val="10"/>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D65D">
    <w:pPr>
      <w:pStyle w:val="10"/>
      <w:jc w:val="center"/>
      <w:rPr>
        <w:rFonts w:hint="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145D1">
                          <w:pPr>
                            <w:pStyle w:val="10"/>
                            <w:jc w:val="center"/>
                          </w:pPr>
                          <w:r>
                            <w:fldChar w:fldCharType="begin"/>
                          </w:r>
                          <w:r>
                            <w:instrText xml:space="preserve">PAGE   \* MERGEFORMAT</w:instrText>
                          </w:r>
                          <w:r>
                            <w:fldChar w:fldCharType="separate"/>
                          </w:r>
                          <w:r>
                            <w:rPr>
                              <w:lang w:val="zh-CN" w:eastAsia="zh-CN"/>
                            </w:rP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480145D1">
                    <w:pPr>
                      <w:pStyle w:val="10"/>
                      <w:jc w:val="center"/>
                    </w:pPr>
                    <w:r>
                      <w:fldChar w:fldCharType="begin"/>
                    </w:r>
                    <w:r>
                      <w:instrText xml:space="preserve">PAGE   \* MERGEFORMAT</w:instrText>
                    </w:r>
                    <w:r>
                      <w:fldChar w:fldCharType="separate"/>
                    </w:r>
                    <w:r>
                      <w:rPr>
                        <w:lang w:val="zh-CN" w:eastAsia="zh-CN"/>
                      </w:rPr>
                      <w:t>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853D2">
    <w:pPr>
      <w:pStyle w:val="10"/>
      <w:jc w:val="center"/>
      <w:rPr>
        <w:rFonts w:hint="eastAsia"/>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13071">
                          <w:pPr>
                            <w:pStyle w:val="10"/>
                            <w:jc w:val="center"/>
                          </w:pPr>
                          <w:r>
                            <w:fldChar w:fldCharType="begin"/>
                          </w:r>
                          <w:r>
                            <w:instrText xml:space="preserve">PAGE   \* MERGEFORMAT</w:instrText>
                          </w:r>
                          <w:r>
                            <w:fldChar w:fldCharType="separate"/>
                          </w:r>
                          <w:r>
                            <w:rPr>
                              <w:lang w:val="zh-CN" w:eastAsia="zh-CN"/>
                            </w:rP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9F13071">
                    <w:pPr>
                      <w:pStyle w:val="10"/>
                      <w:jc w:val="center"/>
                    </w:pPr>
                    <w:r>
                      <w:fldChar w:fldCharType="begin"/>
                    </w:r>
                    <w:r>
                      <w:instrText xml:space="preserve">PAGE   \* MERGEFORMAT</w:instrText>
                    </w:r>
                    <w:r>
                      <w:fldChar w:fldCharType="separate"/>
                    </w:r>
                    <w:r>
                      <w:rPr>
                        <w:lang w:val="zh-CN" w:eastAsia="zh-CN"/>
                      </w:rPr>
                      <w:t>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A343F">
    <w:pPr>
      <w:pStyle w:val="10"/>
      <w:jc w:val="center"/>
      <w:rPr>
        <w:rFonts w:hint="eastAsia"/>
        <w:lang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2AFEC">
                          <w:pPr>
                            <w:pStyle w:val="10"/>
                            <w:jc w:val="center"/>
                          </w:pPr>
                          <w:r>
                            <w:fldChar w:fldCharType="begin"/>
                          </w:r>
                          <w:r>
                            <w:instrText xml:space="preserve">PAGE   \* MERGEFORMAT</w:instrText>
                          </w:r>
                          <w:r>
                            <w:fldChar w:fldCharType="separate"/>
                          </w:r>
                          <w:r>
                            <w:rPr>
                              <w:lang w:val="zh-CN" w:eastAsia="zh-CN"/>
                            </w:rP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D62AFEC">
                    <w:pPr>
                      <w:pStyle w:val="10"/>
                      <w:jc w:val="center"/>
                    </w:pPr>
                    <w:r>
                      <w:fldChar w:fldCharType="begin"/>
                    </w:r>
                    <w:r>
                      <w:instrText xml:space="preserve">PAGE   \* MERGEFORMAT</w:instrText>
                    </w:r>
                    <w:r>
                      <w:fldChar w:fldCharType="separate"/>
                    </w:r>
                    <w:r>
                      <w:rPr>
                        <w:lang w:val="zh-CN" w:eastAsia="zh-CN"/>
                      </w:rPr>
                      <w:t>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BC217">
    <w:pPr>
      <w:pStyle w:val="10"/>
      <w:jc w:val="center"/>
      <w:rPr>
        <w:rFonts w:hint="eastAsia"/>
        <w:lang w:eastAsia="zh-CN"/>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F981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6FAF3">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DD39F">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E0CB2">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5D147">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FA8A8">
    <w:pPr>
      <w:pStyle w:val="10"/>
      <w:jc w:val="right"/>
      <w:rPr>
        <w:rFonts w:hint="eastAsia" w:eastAsia="宋体"/>
        <w:lang w:val="en-US" w:eastAsia="zh-CN"/>
      </w:rPr>
    </w:pPr>
    <w:r>
      <w:rPr>
        <w:rFonts w:hint="eastAsia"/>
        <w:lang w:val="en-US" w:eastAsia="zh-CN"/>
      </w:rPr>
      <w:t>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E95D2">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B0124">
    <w:pPr>
      <w:pStyle w:val="10"/>
      <w:jc w:val="right"/>
      <w:rPr>
        <w:rFonts w:hint="eastAsia" w:eastAsia="宋体"/>
        <w:lang w:val="en-US" w:eastAsia="zh-C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4A235">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B861E">
    <w:pPr>
      <w:pStyle w:val="11"/>
      <w:pBdr>
        <w:bottom w:val="none" w:color="auto" w:sz="0" w:space="1"/>
      </w:pBdr>
      <w:jc w:val="right"/>
      <w:rPr>
        <w:rFonts w:hint="eastAsia" w:ascii="黑体" w:hAnsi="黑体" w:eastAsia="黑体" w:cs="黑体"/>
        <w:lang w:val="en-US"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DC0DE">
    <w:pPr>
      <w:pStyle w:val="11"/>
      <w:pBdr>
        <w:bottom w:val="none" w:color="auto" w:sz="0" w:space="1"/>
      </w:pBdr>
      <w:tabs>
        <w:tab w:val="left" w:pos="2743"/>
      </w:tabs>
      <w:jc w:val="left"/>
      <w:rPr>
        <w:rFonts w:hint="eastAsia" w:eastAsia="宋体"/>
        <w:lang w:eastAsia="zh-CN"/>
      </w:rPr>
    </w:pPr>
    <w:r>
      <w:rPr>
        <w:rFonts w:hint="eastAsia"/>
        <w:lang w:eastAsia="zh-CN"/>
      </w:rPr>
      <w:tab/>
    </w:r>
    <w:r>
      <w:rPr>
        <w:rFonts w:hint="eastAsia"/>
        <w:lang w:eastAsia="zh-CN"/>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45FA6">
    <w:pPr>
      <w:pStyle w:val="11"/>
      <w:pBdr>
        <w:bottom w:val="none" w:color="auto" w:sz="0" w:space="1"/>
      </w:pBdr>
      <w:jc w:val="right"/>
      <w:rPr>
        <w:rFonts w:hint="eastAsia" w:ascii="黑体" w:hAnsi="黑体" w:eastAsia="黑体" w:cs="黑体"/>
        <w:lang w:val="en-US"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65485">
    <w:pPr>
      <w:pStyle w:val="11"/>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30DA">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3091A">
    <w:pPr>
      <w:pStyle w:val="11"/>
      <w:pBdr>
        <w:bottom w:val="none" w:color="auto" w:sz="0" w:space="1"/>
      </w:pBdr>
      <w:rPr>
        <w:rFonts w:hint="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BD34E">
    <w:pPr>
      <w:pStyle w:val="11"/>
      <w:keepNext w:val="0"/>
      <w:keepLines w:val="0"/>
      <w:pageBreakBefore w:val="0"/>
      <w:widowControl w:val="0"/>
      <w:pBdr>
        <w:bottom w:val="none" w:color="auto" w:sz="0" w:space="1"/>
      </w:pBdr>
      <w:kinsoku/>
      <w:wordWrap/>
      <w:overflowPunct/>
      <w:topLinePunct w:val="0"/>
      <w:bidi w:val="0"/>
      <w:adjustRightInd/>
      <w:snapToGrid w:val="0"/>
      <w:spacing w:after="850" w:line="240" w:lineRule="auto"/>
      <w:ind w:firstLine="0" w:firstLineChars="0"/>
      <w:jc w:val="left"/>
      <w:textAlignment w:val="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0A0E2">
    <w:pPr>
      <w:pStyle w:val="11"/>
      <w:pBdr>
        <w:bottom w:val="none" w:color="auto" w:sz="0" w:space="1"/>
      </w:pBdr>
      <w:rPr>
        <w:rFonts w:hint="eastAsia"/>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39AF">
    <w:pPr>
      <w:pStyle w:val="11"/>
      <w:keepNext w:val="0"/>
      <w:keepLines w:val="0"/>
      <w:pageBreakBefore w:val="0"/>
      <w:widowControl w:val="0"/>
      <w:pBdr>
        <w:bottom w:val="none" w:color="auto" w:sz="0" w:space="1"/>
      </w:pBdr>
      <w:kinsoku/>
      <w:wordWrap/>
      <w:overflowPunct/>
      <w:topLinePunct w:val="0"/>
      <w:bidi w:val="0"/>
      <w:adjustRightInd/>
      <w:snapToGrid w:val="0"/>
      <w:spacing w:after="850" w:line="240" w:lineRule="auto"/>
      <w:ind w:firstLine="0" w:firstLineChars="0"/>
      <w:jc w:val="left"/>
      <w:textAlignment w:val="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7A8BF">
    <w:pPr>
      <w:pStyle w:val="11"/>
      <w:keepNext w:val="0"/>
      <w:keepLines w:val="0"/>
      <w:pageBreakBefore w:val="0"/>
      <w:widowControl w:val="0"/>
      <w:pBdr>
        <w:bottom w:val="single" w:color="auto" w:sz="4" w:space="1"/>
      </w:pBdr>
      <w:kinsoku/>
      <w:wordWrap/>
      <w:overflowPunct/>
      <w:topLinePunct w:val="0"/>
      <w:bidi w:val="0"/>
      <w:adjustRightInd/>
      <w:snapToGrid w:val="0"/>
      <w:spacing w:after="283" w:line="240" w:lineRule="auto"/>
      <w:ind w:firstLine="0" w:firstLineChars="0"/>
      <w:jc w:val="right"/>
      <w:textAlignment w:val="auto"/>
      <w:rPr>
        <w:rFonts w:hint="eastAsia" w:ascii="黑体" w:hAnsi="黑体" w:eastAsia="黑体" w:cs="黑体"/>
        <w:sz w:val="21"/>
        <w:szCs w:val="21"/>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75B41">
    <w:pPr>
      <w:pStyle w:val="1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B56D4">
    <w:pPr>
      <w:pStyle w:val="11"/>
      <w:keepNext w:val="0"/>
      <w:keepLines w:val="0"/>
      <w:pageBreakBefore w:val="0"/>
      <w:widowControl w:val="0"/>
      <w:pBdr>
        <w:bottom w:val="none" w:color="auto" w:sz="0" w:space="1"/>
      </w:pBdr>
      <w:tabs>
        <w:tab w:val="left" w:pos="3839"/>
      </w:tabs>
      <w:kinsoku/>
      <w:wordWrap/>
      <w:overflowPunct/>
      <w:topLinePunct w:val="0"/>
      <w:bidi w:val="0"/>
      <w:adjustRightInd/>
      <w:snapToGrid w:val="0"/>
      <w:spacing w:after="850" w:line="240" w:lineRule="auto"/>
      <w:ind w:firstLine="0" w:firstLineChars="0"/>
      <w:jc w:val="left"/>
      <w:textAlignment w:val="auto"/>
      <w:rPr>
        <w:rFonts w:hint="eastAsia" w:ascii="黑体" w:hAnsi="黑体" w:eastAsia="黑体" w:cs="黑体"/>
        <w:sz w:val="21"/>
        <w:szCs w:val="21"/>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2B4A8"/>
    <w:multiLevelType w:val="multilevel"/>
    <w:tmpl w:val="8B82B4A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C6A48E31"/>
    <w:multiLevelType w:val="singleLevel"/>
    <w:tmpl w:val="C6A48E31"/>
    <w:lvl w:ilvl="0" w:tentative="0">
      <w:start w:val="1"/>
      <w:numFmt w:val="lowerLetter"/>
      <w:suff w:val="space"/>
      <w:lvlText w:val="%1）"/>
      <w:lvlJc w:val="left"/>
    </w:lvl>
  </w:abstractNum>
  <w:abstractNum w:abstractNumId="2">
    <w:nsid w:val="D75FB1C5"/>
    <w:multiLevelType w:val="singleLevel"/>
    <w:tmpl w:val="D75FB1C5"/>
    <w:lvl w:ilvl="0" w:tentative="0">
      <w:start w:val="1"/>
      <w:numFmt w:val="lowerLetter"/>
      <w:suff w:val="space"/>
      <w:lvlText w:val="%1）"/>
      <w:lvlJc w:val="left"/>
    </w:lvl>
  </w:abstractNum>
  <w:abstractNum w:abstractNumId="3">
    <w:nsid w:val="DB06EFA3"/>
    <w:multiLevelType w:val="singleLevel"/>
    <w:tmpl w:val="DB06EFA3"/>
    <w:lvl w:ilvl="0" w:tentative="0">
      <w:start w:val="1"/>
      <w:numFmt w:val="lowerLetter"/>
      <w:suff w:val="space"/>
      <w:lvlText w:val="%1）"/>
      <w:lvlJc w:val="left"/>
    </w:lvl>
  </w:abstractNum>
  <w:abstractNum w:abstractNumId="4">
    <w:nsid w:val="FBD86819"/>
    <w:multiLevelType w:val="singleLevel"/>
    <w:tmpl w:val="FBD86819"/>
    <w:lvl w:ilvl="0" w:tentative="0">
      <w:start w:val="1"/>
      <w:numFmt w:val="lowerLetter"/>
      <w:suff w:val="space"/>
      <w:lvlText w:val="%1）"/>
      <w:lvlJc w:val="left"/>
    </w:lvl>
  </w:abstractNum>
  <w:abstractNum w:abstractNumId="5">
    <w:nsid w:val="087E2230"/>
    <w:multiLevelType w:val="singleLevel"/>
    <w:tmpl w:val="087E2230"/>
    <w:lvl w:ilvl="0" w:tentative="0">
      <w:start w:val="1"/>
      <w:numFmt w:val="lowerLetter"/>
      <w:suff w:val="space"/>
      <w:lvlText w:val="%1）"/>
      <w:lvlJc w:val="left"/>
      <w:pPr>
        <w:ind w:left="0" w:firstLine="20"/>
      </w:pPr>
    </w:lvl>
  </w:abstractNum>
  <w:abstractNum w:abstractNumId="6">
    <w:nsid w:val="1FC91163"/>
    <w:multiLevelType w:val="multilevel"/>
    <w:tmpl w:val="1FC91163"/>
    <w:lvl w:ilvl="0" w:tentative="0">
      <w:start w:val="1"/>
      <w:numFmt w:val="decimal"/>
      <w:pStyle w:val="3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2"/>
      <w:suff w:val="nothing"/>
      <w:lvlText w:val="%1.%2　"/>
      <w:lvlJc w:val="left"/>
      <w:pPr>
        <w:ind w:left="666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568"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142"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22E713B6"/>
    <w:multiLevelType w:val="singleLevel"/>
    <w:tmpl w:val="22E713B6"/>
    <w:lvl w:ilvl="0" w:tentative="0">
      <w:start w:val="1"/>
      <w:numFmt w:val="lowerLetter"/>
      <w:suff w:val="space"/>
      <w:lvlText w:val="%1）"/>
      <w:lvlJc w:val="left"/>
    </w:lvl>
  </w:abstractNum>
  <w:abstractNum w:abstractNumId="8">
    <w:nsid w:val="646260FA"/>
    <w:multiLevelType w:val="multilevel"/>
    <w:tmpl w:val="646260FA"/>
    <w:lvl w:ilvl="0" w:tentative="0">
      <w:start w:val="1"/>
      <w:numFmt w:val="decimal"/>
      <w:pStyle w:val="37"/>
      <w:suff w:val="nothing"/>
      <w:lvlText w:val="表%1　"/>
      <w:lvlJc w:val="left"/>
      <w:pPr>
        <w:ind w:left="4537"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6"/>
  </w:num>
  <w:num w:numId="2">
    <w:abstractNumId w:val="8"/>
  </w:num>
  <w:num w:numId="3">
    <w:abstractNumId w:val="0"/>
  </w:num>
  <w:num w:numId="4">
    <w:abstractNumId w:val="5"/>
  </w:num>
  <w:num w:numId="5">
    <w:abstractNumId w:val="3"/>
  </w:num>
  <w:num w:numId="6">
    <w:abstractNumId w:val="2"/>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yM2JmN2VmMDRkMTBlNDNlOGM1NWY4MWI5OGQzZjIifQ=="/>
  </w:docVars>
  <w:rsids>
    <w:rsidRoot w:val="17734378"/>
    <w:rsid w:val="002E1403"/>
    <w:rsid w:val="012239EE"/>
    <w:rsid w:val="022200B7"/>
    <w:rsid w:val="02785A08"/>
    <w:rsid w:val="035F6AAC"/>
    <w:rsid w:val="03A11052"/>
    <w:rsid w:val="059E15BF"/>
    <w:rsid w:val="059E7EEB"/>
    <w:rsid w:val="05BB33D8"/>
    <w:rsid w:val="06284E12"/>
    <w:rsid w:val="06692E75"/>
    <w:rsid w:val="066A1E95"/>
    <w:rsid w:val="06897292"/>
    <w:rsid w:val="06C402D9"/>
    <w:rsid w:val="078F11FB"/>
    <w:rsid w:val="08564267"/>
    <w:rsid w:val="08997829"/>
    <w:rsid w:val="08F71A98"/>
    <w:rsid w:val="095F5DD9"/>
    <w:rsid w:val="09DF1358"/>
    <w:rsid w:val="0AAE262A"/>
    <w:rsid w:val="0AD054CA"/>
    <w:rsid w:val="0AFC15E8"/>
    <w:rsid w:val="0B0067D3"/>
    <w:rsid w:val="0C982348"/>
    <w:rsid w:val="0D2606EF"/>
    <w:rsid w:val="0D522CC5"/>
    <w:rsid w:val="0D9D5D5A"/>
    <w:rsid w:val="0DBF0E5B"/>
    <w:rsid w:val="0DD36381"/>
    <w:rsid w:val="0DE11AEE"/>
    <w:rsid w:val="0E171371"/>
    <w:rsid w:val="0E623B6C"/>
    <w:rsid w:val="0EA06378"/>
    <w:rsid w:val="0ED503B8"/>
    <w:rsid w:val="0F3B6457"/>
    <w:rsid w:val="0F5523F8"/>
    <w:rsid w:val="0F830261"/>
    <w:rsid w:val="108971E1"/>
    <w:rsid w:val="10D82863"/>
    <w:rsid w:val="11274EE5"/>
    <w:rsid w:val="11281FB2"/>
    <w:rsid w:val="114B59A6"/>
    <w:rsid w:val="11607DE9"/>
    <w:rsid w:val="131B4080"/>
    <w:rsid w:val="13F0364B"/>
    <w:rsid w:val="13FF662E"/>
    <w:rsid w:val="140D728C"/>
    <w:rsid w:val="141157E7"/>
    <w:rsid w:val="14271286"/>
    <w:rsid w:val="14737C81"/>
    <w:rsid w:val="16491459"/>
    <w:rsid w:val="17734378"/>
    <w:rsid w:val="18266D18"/>
    <w:rsid w:val="18764630"/>
    <w:rsid w:val="189E2363"/>
    <w:rsid w:val="18E2303C"/>
    <w:rsid w:val="191667F2"/>
    <w:rsid w:val="196B07F3"/>
    <w:rsid w:val="1AC67775"/>
    <w:rsid w:val="1C8C0D9D"/>
    <w:rsid w:val="1D342403"/>
    <w:rsid w:val="1E944D84"/>
    <w:rsid w:val="1EFA2E0F"/>
    <w:rsid w:val="20AD0ED7"/>
    <w:rsid w:val="21CE3E73"/>
    <w:rsid w:val="222F1E4B"/>
    <w:rsid w:val="238D706A"/>
    <w:rsid w:val="24084806"/>
    <w:rsid w:val="245B00D5"/>
    <w:rsid w:val="24C71835"/>
    <w:rsid w:val="25093C40"/>
    <w:rsid w:val="25C76172"/>
    <w:rsid w:val="25DD15C5"/>
    <w:rsid w:val="264803D1"/>
    <w:rsid w:val="274E2D73"/>
    <w:rsid w:val="28DB6238"/>
    <w:rsid w:val="29A058F9"/>
    <w:rsid w:val="2A103412"/>
    <w:rsid w:val="2AEC2178"/>
    <w:rsid w:val="2BC343B2"/>
    <w:rsid w:val="2C1B2DAD"/>
    <w:rsid w:val="2D8A43D9"/>
    <w:rsid w:val="2E0C1292"/>
    <w:rsid w:val="2F382F0D"/>
    <w:rsid w:val="2F6718DE"/>
    <w:rsid w:val="2FAC6DC1"/>
    <w:rsid w:val="2FB71CFA"/>
    <w:rsid w:val="30145F41"/>
    <w:rsid w:val="3018236B"/>
    <w:rsid w:val="30DC2B6F"/>
    <w:rsid w:val="318C16EE"/>
    <w:rsid w:val="32D6201E"/>
    <w:rsid w:val="332E6DD4"/>
    <w:rsid w:val="34D5735F"/>
    <w:rsid w:val="34F83BA5"/>
    <w:rsid w:val="35F42227"/>
    <w:rsid w:val="367F55E7"/>
    <w:rsid w:val="376C05D2"/>
    <w:rsid w:val="378D5AE2"/>
    <w:rsid w:val="37A12812"/>
    <w:rsid w:val="38653A79"/>
    <w:rsid w:val="38C66497"/>
    <w:rsid w:val="39096AFA"/>
    <w:rsid w:val="3916629D"/>
    <w:rsid w:val="39627D7D"/>
    <w:rsid w:val="39807552"/>
    <w:rsid w:val="3A4122C4"/>
    <w:rsid w:val="3A7B3A28"/>
    <w:rsid w:val="3A872999"/>
    <w:rsid w:val="3AAF722D"/>
    <w:rsid w:val="3ABD5DEE"/>
    <w:rsid w:val="3ADA6357"/>
    <w:rsid w:val="3AE376AE"/>
    <w:rsid w:val="3BDD426E"/>
    <w:rsid w:val="3C221C81"/>
    <w:rsid w:val="3C433381"/>
    <w:rsid w:val="3D300EC9"/>
    <w:rsid w:val="3D32175E"/>
    <w:rsid w:val="3DEF291A"/>
    <w:rsid w:val="3DF21201"/>
    <w:rsid w:val="3E9C7CBF"/>
    <w:rsid w:val="3F4927E2"/>
    <w:rsid w:val="412A075C"/>
    <w:rsid w:val="414E1930"/>
    <w:rsid w:val="41AE514D"/>
    <w:rsid w:val="41BE218B"/>
    <w:rsid w:val="423B67E7"/>
    <w:rsid w:val="4242391B"/>
    <w:rsid w:val="425514B4"/>
    <w:rsid w:val="44D31A1B"/>
    <w:rsid w:val="44F00C5A"/>
    <w:rsid w:val="46794536"/>
    <w:rsid w:val="4687728D"/>
    <w:rsid w:val="472E3F25"/>
    <w:rsid w:val="476615BC"/>
    <w:rsid w:val="47690EAD"/>
    <w:rsid w:val="49462308"/>
    <w:rsid w:val="49BA5308"/>
    <w:rsid w:val="4A1D2195"/>
    <w:rsid w:val="4A2453C6"/>
    <w:rsid w:val="4A900E63"/>
    <w:rsid w:val="4B1E340D"/>
    <w:rsid w:val="4CA66CB4"/>
    <w:rsid w:val="4CC35429"/>
    <w:rsid w:val="4D1F0CF4"/>
    <w:rsid w:val="4D770815"/>
    <w:rsid w:val="4DE11107"/>
    <w:rsid w:val="4E410EC2"/>
    <w:rsid w:val="4E475783"/>
    <w:rsid w:val="4EAA46C4"/>
    <w:rsid w:val="4F4341BE"/>
    <w:rsid w:val="4F59430D"/>
    <w:rsid w:val="4F87472D"/>
    <w:rsid w:val="4FE51A66"/>
    <w:rsid w:val="504A5BE2"/>
    <w:rsid w:val="51593CF8"/>
    <w:rsid w:val="52036682"/>
    <w:rsid w:val="52635075"/>
    <w:rsid w:val="529B54F8"/>
    <w:rsid w:val="52CB09A2"/>
    <w:rsid w:val="534D1D39"/>
    <w:rsid w:val="53FF2C62"/>
    <w:rsid w:val="541C0C70"/>
    <w:rsid w:val="55161382"/>
    <w:rsid w:val="554F6739"/>
    <w:rsid w:val="557C1FAA"/>
    <w:rsid w:val="55DD7ADA"/>
    <w:rsid w:val="564C3483"/>
    <w:rsid w:val="56C26072"/>
    <w:rsid w:val="578156BA"/>
    <w:rsid w:val="58256DEF"/>
    <w:rsid w:val="58377C37"/>
    <w:rsid w:val="585129A5"/>
    <w:rsid w:val="598823E7"/>
    <w:rsid w:val="59CF119B"/>
    <w:rsid w:val="5A9105DF"/>
    <w:rsid w:val="5A987886"/>
    <w:rsid w:val="5AB73FB4"/>
    <w:rsid w:val="5B2F7529"/>
    <w:rsid w:val="5CB83633"/>
    <w:rsid w:val="5CC15E4F"/>
    <w:rsid w:val="5D982521"/>
    <w:rsid w:val="5DCB699B"/>
    <w:rsid w:val="5DE01A0D"/>
    <w:rsid w:val="5E0037AA"/>
    <w:rsid w:val="60125C87"/>
    <w:rsid w:val="60167ACA"/>
    <w:rsid w:val="601856F1"/>
    <w:rsid w:val="60831ABD"/>
    <w:rsid w:val="63445418"/>
    <w:rsid w:val="64264155"/>
    <w:rsid w:val="649950B9"/>
    <w:rsid w:val="64E1754D"/>
    <w:rsid w:val="64ED373A"/>
    <w:rsid w:val="65757142"/>
    <w:rsid w:val="65890E41"/>
    <w:rsid w:val="68531926"/>
    <w:rsid w:val="69597D27"/>
    <w:rsid w:val="69AE2C22"/>
    <w:rsid w:val="6A447B9E"/>
    <w:rsid w:val="6AD76017"/>
    <w:rsid w:val="6B1E0E6D"/>
    <w:rsid w:val="6B31050A"/>
    <w:rsid w:val="6B8270DB"/>
    <w:rsid w:val="6B87659B"/>
    <w:rsid w:val="6B985CF8"/>
    <w:rsid w:val="6B9B2724"/>
    <w:rsid w:val="6BED474A"/>
    <w:rsid w:val="6D03563C"/>
    <w:rsid w:val="6D553378"/>
    <w:rsid w:val="6D9F4EA9"/>
    <w:rsid w:val="6F83440A"/>
    <w:rsid w:val="6FBB63E2"/>
    <w:rsid w:val="6FBE63A8"/>
    <w:rsid w:val="701E729B"/>
    <w:rsid w:val="70AF0F57"/>
    <w:rsid w:val="71665128"/>
    <w:rsid w:val="718B036D"/>
    <w:rsid w:val="72080E04"/>
    <w:rsid w:val="72097843"/>
    <w:rsid w:val="726174E5"/>
    <w:rsid w:val="72825E07"/>
    <w:rsid w:val="728B1556"/>
    <w:rsid w:val="72B8443A"/>
    <w:rsid w:val="7430602B"/>
    <w:rsid w:val="747A2D07"/>
    <w:rsid w:val="748F28B9"/>
    <w:rsid w:val="756A3157"/>
    <w:rsid w:val="75FE5C0C"/>
    <w:rsid w:val="76DC793A"/>
    <w:rsid w:val="76EF7057"/>
    <w:rsid w:val="76FE4B34"/>
    <w:rsid w:val="77374BD6"/>
    <w:rsid w:val="779B2AE5"/>
    <w:rsid w:val="77A55C37"/>
    <w:rsid w:val="78BB4A14"/>
    <w:rsid w:val="78EF3977"/>
    <w:rsid w:val="791A693D"/>
    <w:rsid w:val="79B220BA"/>
    <w:rsid w:val="79C54D55"/>
    <w:rsid w:val="7B3148C9"/>
    <w:rsid w:val="7B9003DA"/>
    <w:rsid w:val="7BA36908"/>
    <w:rsid w:val="7BD92BA2"/>
    <w:rsid w:val="7BDD440C"/>
    <w:rsid w:val="7C2F35AF"/>
    <w:rsid w:val="7D5A7BE0"/>
    <w:rsid w:val="7D5E3B4D"/>
    <w:rsid w:val="7DA5732C"/>
    <w:rsid w:val="7DD36AF2"/>
    <w:rsid w:val="7EF6321D"/>
    <w:rsid w:val="7FBF0219"/>
    <w:rsid w:val="7FE81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1624"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40" w:lineRule="auto"/>
      <w:ind w:firstLine="200" w:firstLineChars="200"/>
      <w:jc w:val="both"/>
    </w:pPr>
    <w:rPr>
      <w:rFonts w:ascii="宋体" w:hAnsi="宋体"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100" w:beforeLines="100" w:after="100" w:afterLines="100"/>
      <w:ind w:firstLine="0" w:firstLineChars="0"/>
      <w:jc w:val="left"/>
      <w:outlineLvl w:val="0"/>
    </w:pPr>
    <w:rPr>
      <w:rFonts w:ascii="黑体" w:hAnsi="黑体" w:eastAsia="黑体"/>
      <w:kern w:val="44"/>
      <w:szCs w:val="28"/>
    </w:rPr>
  </w:style>
  <w:style w:type="paragraph" w:styleId="3">
    <w:name w:val="heading 2"/>
    <w:basedOn w:val="1"/>
    <w:next w:val="1"/>
    <w:link w:val="25"/>
    <w:autoRedefine/>
    <w:unhideWhenUsed/>
    <w:qFormat/>
    <w:uiPriority w:val="0"/>
    <w:pPr>
      <w:spacing w:before="50" w:beforeLines="50" w:after="50" w:afterLines="50"/>
      <w:ind w:firstLine="0" w:firstLineChars="0"/>
      <w:outlineLvl w:val="1"/>
    </w:pPr>
    <w:rPr>
      <w:rFonts w:ascii="黑体" w:hAnsi="黑体" w:eastAsia="黑体"/>
    </w:rPr>
  </w:style>
  <w:style w:type="paragraph" w:styleId="4">
    <w:name w:val="heading 3"/>
    <w:basedOn w:val="1"/>
    <w:next w:val="1"/>
    <w:link w:val="29"/>
    <w:autoRedefine/>
    <w:unhideWhenUsed/>
    <w:qFormat/>
    <w:uiPriority w:val="0"/>
    <w:pPr>
      <w:keepNext/>
      <w:keepLines/>
      <w:spacing w:before="50" w:beforeLines="50" w:beforeAutospacing="0" w:after="50" w:afterLines="50" w:afterAutospacing="0" w:line="240" w:lineRule="auto"/>
      <w:ind w:firstLine="0" w:firstLineChars="0"/>
      <w:outlineLvl w:val="2"/>
    </w:pPr>
    <w:rPr>
      <w:rFonts w:ascii="黑体" w:hAnsi="黑体" w:eastAsia="黑体" w:cs="黑体"/>
      <w:szCs w:val="21"/>
    </w:rPr>
  </w:style>
  <w:style w:type="paragraph" w:styleId="5">
    <w:name w:val="heading 4"/>
    <w:basedOn w:val="1"/>
    <w:next w:val="1"/>
    <w:link w:val="26"/>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basedOn w:val="1"/>
    <w:autoRedefine/>
    <w:qFormat/>
    <w:uiPriority w:val="0"/>
    <w:pPr>
      <w:adjustRightInd w:val="0"/>
      <w:snapToGrid w:val="0"/>
    </w:pPr>
    <w:rPr>
      <w:rFonts w:ascii="Arial" w:hAnsi="Arial" w:eastAsia="黑体" w:cs="Arial"/>
      <w:szCs w:val="21"/>
      <w:lang w:eastAsia="en-US"/>
    </w:rPr>
  </w:style>
  <w:style w:type="paragraph" w:styleId="8">
    <w:name w:val="Plain Text"/>
    <w:basedOn w:val="1"/>
    <w:autoRedefine/>
    <w:unhideWhenUsed/>
    <w:qFormat/>
    <w:uiPriority w:val="0"/>
    <w:rPr>
      <w:rFonts w:ascii="宋体" w:hAnsi="Courier New"/>
      <w:kern w:val="0"/>
      <w:sz w:val="20"/>
      <w:szCs w:val="20"/>
    </w:rPr>
  </w:style>
  <w:style w:type="paragraph" w:styleId="9">
    <w:name w:val="Body Text Indent 2"/>
    <w:basedOn w:val="1"/>
    <w:autoRedefine/>
    <w:qFormat/>
    <w:uiPriority w:val="1624"/>
    <w:pPr>
      <w:ind w:firstLine="480"/>
    </w:pPr>
    <w:rPr>
      <w:color w:val="0000FF"/>
    </w:rPr>
  </w:style>
  <w:style w:type="paragraph" w:styleId="10">
    <w:name w:val="footer"/>
    <w:basedOn w:val="1"/>
    <w:autoRedefine/>
    <w:qFormat/>
    <w:uiPriority w:val="0"/>
    <w:pPr>
      <w:tabs>
        <w:tab w:val="center" w:pos="4153"/>
        <w:tab w:val="right" w:pos="8306"/>
      </w:tabs>
      <w:snapToGrid w:val="0"/>
      <w:spacing w:line="240" w:lineRule="atLeast"/>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autoRedefine/>
    <w:qFormat/>
    <w:uiPriority w:val="0"/>
    <w:pPr>
      <w:spacing w:before="240" w:after="60"/>
      <w:jc w:val="center"/>
      <w:outlineLvl w:val="0"/>
    </w:pPr>
    <w:rPr>
      <w:rFonts w:ascii="Cambria" w:hAnsi="Cambria" w:cs="Times New Roman"/>
      <w:b/>
      <w:bCs/>
      <w:sz w:val="32"/>
      <w:szCs w:val="32"/>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0"/>
    <w:rPr>
      <w:b/>
    </w:rPr>
  </w:style>
  <w:style w:type="character" w:styleId="20">
    <w:name w:val="HTML Code"/>
    <w:basedOn w:val="18"/>
    <w:autoRedefine/>
    <w:qFormat/>
    <w:uiPriority w:val="0"/>
    <w:rPr>
      <w:rFonts w:ascii="Courier New" w:hAnsi="Courier New"/>
      <w:sz w:val="20"/>
    </w:rPr>
  </w:style>
  <w:style w:type="character" w:customStyle="1" w:styleId="21">
    <w:name w:val="标题 1 Char"/>
    <w:link w:val="2"/>
    <w:autoRedefine/>
    <w:qFormat/>
    <w:uiPriority w:val="0"/>
    <w:rPr>
      <w:rFonts w:ascii="黑体" w:hAnsi="黑体" w:eastAsia="黑体" w:cs="Times New Roman"/>
      <w:kern w:val="44"/>
      <w:sz w:val="21"/>
      <w:szCs w:val="28"/>
      <w:lang w:val="en-US" w:eastAsia="zh-CN" w:bidi="ar-SA"/>
    </w:rPr>
  </w:style>
  <w:style w:type="paragraph" w:customStyle="1" w:styleId="22">
    <w:name w:val="一级条标题"/>
    <w:next w:val="23"/>
    <w:autoRedefine/>
    <w:qFormat/>
    <w:uiPriority w:val="0"/>
    <w:pPr>
      <w:numPr>
        <w:ilvl w:val="1"/>
        <w:numId w:val="1"/>
      </w:numPr>
      <w:spacing w:before="50" w:beforeLines="50" w:after="50" w:afterLines="50"/>
      <w:outlineLvl w:val="2"/>
    </w:pPr>
    <w:rPr>
      <w:rFonts w:ascii="黑体" w:hAnsi="黑体" w:eastAsia="黑体" w:cs="Times New Roman"/>
      <w:sz w:val="24"/>
      <w:szCs w:val="21"/>
      <w:lang w:val="en-US" w:eastAsia="zh-CN" w:bidi="ar-SA"/>
    </w:rPr>
  </w:style>
  <w:style w:type="paragraph" w:customStyle="1" w:styleId="23">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4">
    <w:name w:val="！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character" w:customStyle="1" w:styleId="25">
    <w:name w:val="标题 2 Char"/>
    <w:link w:val="3"/>
    <w:autoRedefine/>
    <w:qFormat/>
    <w:uiPriority w:val="0"/>
    <w:rPr>
      <w:rFonts w:ascii="黑体" w:hAnsi="黑体" w:eastAsia="黑体" w:cs="Times New Roman"/>
      <w:kern w:val="2"/>
      <w:sz w:val="21"/>
      <w:szCs w:val="24"/>
      <w:lang w:val="en-US" w:eastAsia="zh-CN" w:bidi="ar-SA"/>
    </w:rPr>
  </w:style>
  <w:style w:type="character" w:customStyle="1" w:styleId="26">
    <w:name w:val="标题 4 Char"/>
    <w:link w:val="5"/>
    <w:autoRedefine/>
    <w:qFormat/>
    <w:uiPriority w:val="0"/>
    <w:rPr>
      <w:rFonts w:ascii="Arial" w:hAnsi="Arial" w:eastAsia="黑体"/>
      <w:b/>
      <w:sz w:val="28"/>
    </w:rPr>
  </w:style>
  <w:style w:type="paragraph" w:customStyle="1" w:styleId="27">
    <w:name w:val="Table Text"/>
    <w:basedOn w:val="1"/>
    <w:autoRedefine/>
    <w:semiHidden/>
    <w:qFormat/>
    <w:uiPriority w:val="0"/>
    <w:rPr>
      <w:rFonts w:ascii="宋体" w:hAnsi="宋体" w:eastAsia="宋体" w:cs="宋体"/>
      <w:sz w:val="18"/>
      <w:szCs w:val="18"/>
      <w:lang w:val="en-US" w:eastAsia="en-US" w:bidi="ar-SA"/>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character" w:customStyle="1" w:styleId="29">
    <w:name w:val="标题 3 Char"/>
    <w:link w:val="4"/>
    <w:autoRedefine/>
    <w:qFormat/>
    <w:uiPriority w:val="0"/>
    <w:rPr>
      <w:rFonts w:ascii="黑体" w:hAnsi="黑体" w:eastAsia="黑体" w:cs="黑体"/>
      <w:sz w:val="21"/>
      <w:szCs w:val="21"/>
    </w:rPr>
  </w:style>
  <w:style w:type="paragraph" w:customStyle="1" w:styleId="30">
    <w:name w:val="正文加粗2"/>
    <w:basedOn w:val="1"/>
    <w:next w:val="1"/>
    <w:autoRedefine/>
    <w:qFormat/>
    <w:uiPriority w:val="0"/>
    <w:pPr>
      <w:keepNext/>
      <w:keepLines/>
      <w:spacing w:beforeLines="0" w:afterLines="0" w:line="360" w:lineRule="auto"/>
      <w:outlineLvl w:val="9"/>
    </w:pPr>
    <w:rPr>
      <w:rFonts w:ascii="Arial" w:hAnsi="Arial" w:eastAsia="黑体"/>
      <w:b/>
    </w:rPr>
  </w:style>
  <w:style w:type="paragraph" w:customStyle="1" w:styleId="31">
    <w:name w:val="正文加粗"/>
    <w:basedOn w:val="1"/>
    <w:autoRedefine/>
    <w:qFormat/>
    <w:uiPriority w:val="0"/>
    <w:pPr>
      <w:spacing w:line="360" w:lineRule="auto"/>
      <w:ind w:firstLine="499"/>
    </w:pPr>
    <w:rPr>
      <w:rFonts w:ascii="宋体" w:hAnsi="宋体" w:eastAsia="黑体"/>
    </w:rPr>
  </w:style>
  <w:style w:type="paragraph" w:customStyle="1" w:styleId="32">
    <w:name w:val="附录"/>
    <w:basedOn w:val="1"/>
    <w:autoRedefine/>
    <w:qFormat/>
    <w:uiPriority w:val="0"/>
    <w:pPr>
      <w:spacing w:line="240" w:lineRule="auto"/>
      <w:ind w:firstLine="3853" w:firstLineChars="1835"/>
      <w:jc w:val="both"/>
      <w:outlineLvl w:val="0"/>
    </w:pPr>
    <w:rPr>
      <w:rFonts w:ascii="宋体" w:hAnsi="宋体" w:eastAsia="黑体"/>
    </w:rPr>
  </w:style>
  <w:style w:type="paragraph" w:customStyle="1" w:styleId="33">
    <w:name w:val="图表名称"/>
    <w:basedOn w:val="1"/>
    <w:autoRedefine/>
    <w:qFormat/>
    <w:uiPriority w:val="0"/>
    <w:pPr>
      <w:spacing w:line="360" w:lineRule="auto"/>
      <w:ind w:firstLine="0" w:firstLineChars="0"/>
      <w:jc w:val="center"/>
    </w:pPr>
    <w:rPr>
      <w:rFonts w:hint="default" w:ascii="Times New Roman" w:hAnsi="Times New Roman" w:cs="仿宋_GB2312"/>
      <w:b/>
      <w:sz w:val="21"/>
    </w:rPr>
  </w:style>
  <w:style w:type="paragraph" w:customStyle="1" w:styleId="34">
    <w:name w:val="正文文本1"/>
    <w:basedOn w:val="1"/>
    <w:autoRedefine/>
    <w:qFormat/>
    <w:uiPriority w:val="0"/>
    <w:pPr>
      <w:ind w:firstLine="480"/>
    </w:pPr>
    <w:rPr>
      <w:rFonts w:ascii="Times New Roman" w:hAnsi="Times New Roman" w:eastAsia="宋体"/>
      <w:kern w:val="0"/>
      <w:szCs w:val="21"/>
      <w:lang w:val="zh-CN" w:bidi="zh-CN"/>
    </w:rPr>
  </w:style>
  <w:style w:type="paragraph" w:styleId="35">
    <w:name w:val="List Paragraph"/>
    <w:basedOn w:val="1"/>
    <w:autoRedefine/>
    <w:qFormat/>
    <w:uiPriority w:val="34"/>
    <w:pPr>
      <w:ind w:firstLine="420" w:firstLineChars="200"/>
    </w:pPr>
    <w:rPr>
      <w:rFonts w:ascii="等线" w:hAnsi="等线" w:eastAsia="等线" w:cs="Times New Roman"/>
      <w:szCs w:val="22"/>
    </w:rPr>
  </w:style>
  <w:style w:type="paragraph" w:customStyle="1" w:styleId="36">
    <w:name w:val="AMDisplayEquation"/>
    <w:basedOn w:val="1"/>
    <w:next w:val="1"/>
    <w:autoRedefine/>
    <w:qFormat/>
    <w:uiPriority w:val="0"/>
    <w:pPr>
      <w:tabs>
        <w:tab w:val="center" w:pos="4160"/>
        <w:tab w:val="right" w:pos="8300"/>
      </w:tabs>
      <w:autoSpaceDE w:val="0"/>
      <w:autoSpaceDN w:val="0"/>
      <w:adjustRightInd w:val="0"/>
      <w:jc w:val="left"/>
    </w:pPr>
    <w:rPr>
      <w:rFonts w:ascii="FRCCQR+FZSSK--GBK1-0" w:hAnsi="TimesNewRomanPSMT" w:eastAsia="FRCCQR+FZSSK--GBK1-0" w:cs="FRCCQR+FZSSK--GBK1-0"/>
      <w:color w:val="000000"/>
      <w:kern w:val="0"/>
      <w:szCs w:val="21"/>
      <w:lang w:val="zh-CN"/>
    </w:rPr>
  </w:style>
  <w:style w:type="paragraph" w:customStyle="1" w:styleId="37">
    <w:name w:val="正文表标题"/>
    <w:next w:val="23"/>
    <w:autoRedefine/>
    <w:qFormat/>
    <w:uiPriority w:val="0"/>
    <w:pPr>
      <w:numPr>
        <w:ilvl w:val="0"/>
        <w:numId w:val="2"/>
      </w:numPr>
      <w:spacing w:beforeLines="50" w:afterLines="50"/>
      <w:ind w:left="0"/>
      <w:jc w:val="center"/>
    </w:pPr>
    <w:rPr>
      <w:rFonts w:ascii="黑体" w:hAnsi="Times New Roman" w:eastAsia="黑体" w:cs="Times New Roman"/>
      <w:sz w:val="21"/>
      <w:lang w:val="en-US" w:eastAsia="zh-CN" w:bidi="ar-SA"/>
    </w:rPr>
  </w:style>
  <w:style w:type="paragraph" w:customStyle="1" w:styleId="38">
    <w:name w:val="章标题"/>
    <w:next w:val="23"/>
    <w:autoRedefine/>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character" w:customStyle="1" w:styleId="39">
    <w:name w:val="font21"/>
    <w:basedOn w:val="18"/>
    <w:autoRedefine/>
    <w:qFormat/>
    <w:uiPriority w:val="0"/>
    <w:rPr>
      <w:rFonts w:hint="default" w:ascii="Times New Roman" w:hAnsi="Times New Roman" w:cs="Times New Roman"/>
      <w:color w:val="000000"/>
      <w:sz w:val="21"/>
      <w:szCs w:val="21"/>
      <w:u w:val="none"/>
    </w:rPr>
  </w:style>
  <w:style w:type="character" w:customStyle="1" w:styleId="40">
    <w:name w:val="font11"/>
    <w:basedOn w:val="18"/>
    <w:autoRedefine/>
    <w:qFormat/>
    <w:uiPriority w:val="0"/>
    <w:rPr>
      <w:rFonts w:hint="eastAsia" w:ascii="宋体" w:hAnsi="宋体" w:eastAsia="宋体" w:cs="宋体"/>
      <w:color w:val="000000"/>
      <w:sz w:val="21"/>
      <w:szCs w:val="21"/>
      <w:u w:val="none"/>
    </w:rPr>
  </w:style>
  <w:style w:type="character" w:customStyle="1" w:styleId="41">
    <w:name w:val="font31"/>
    <w:basedOn w:val="18"/>
    <w:autoRedefine/>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png"/><Relationship Id="rId55" Type="http://schemas.openxmlformats.org/officeDocument/2006/relationships/image" Target="media/image20.png"/><Relationship Id="rId54" Type="http://schemas.openxmlformats.org/officeDocument/2006/relationships/image" Target="media/image19.png"/><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endnotes" Target="endnotes.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header" Target="header12.xml"/><Relationship Id="rId31" Type="http://schemas.openxmlformats.org/officeDocument/2006/relationships/header" Target="header1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8757</Words>
  <Characters>10034</Characters>
  <Lines>0</Lines>
  <Paragraphs>0</Paragraphs>
  <TotalTime>0</TotalTime>
  <ScaleCrop>false</ScaleCrop>
  <LinksUpToDate>false</LinksUpToDate>
  <CharactersWithSpaces>10724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2025-03-20T07:37:00Z</dcterms:created>
  <dc:creator>余崇俊</dc:creator>
  <cp:lastModifiedBy>啸左</cp:lastModifiedBy>
  <cp:lastPrinted>2025-03-31T07:20:00Z</cp:lastPrinted>
  <dcterms:modified xsi:type="dcterms:W3CDTF">2025-06-18T06:11:49Z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B24D0E80880C4F7288D27B2A90DB93A0_13</vt:lpwstr>
  </property>
  <property fmtid="{D5CDD505-2E9C-101B-9397-08002B2CF9AE}" pid="4" name="KSOTemplateDocerSaveRecord">
    <vt:lpwstr>eyJoZGlkIjoiMzEwNTM5NzYwMDRjMzkwZTVkZjY2ODkwMGIxNGU0OTUiLCJ1c2VySWQiOiI1MDM4MzgwNjEifQ==</vt:lpwstr>
  </property>
</Properties>
</file>